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spacing w:before="0" w:after="0" w:lineRule="auto" w:line="240"/>
        <w:ind w:right="0" w:left="0" w:firstLine="0"/>
        <w:jc w:val="center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  <w:b w:val="off"/>
          <w:i w:val="off"/>
          <w:strike w:val="off"/>
        </w:rPr>
      </w:r>
      <w:r>
        <w:rPr>
          <w:sz w:val="28"/>
          <w:rFonts w:ascii="Times New Roman" w:hAnsi="Times New Roman" w:cs="Times New Roman" w:eastAsia="Times New Roman"/>
          <w:u w:val="none"/>
          <w:b w:val="on"/>
        </w:rPr>
        <w:t>ПОЯСНИТЕЛЬНАЯ ЗАПИСКА</w:t>
      </w:r>
    </w:p>
    <w:tbl>
      <w:tblPr>
        <w:tblW w:w="10711" w:type="dxa"/>
        <w:tblBorders>
          <w:top w:val="none" w:sz="0"/>
          <w:left w:val="none" w:sz="0"/>
          <w:bottom w:val="none" w:sz="0"/>
          <w:right w:val="none" w:sz="0"/>
          <w:insideH w:val="single" w:sz="16"/>
          <w:insideV w:val="single" w:sz="16"/>
        </w:tblBorders>
        <w:tblLayout w:type="fixed"/>
      </w:tblPr>
      <w:tblGrid>
        <w:gridCol w:w="107"/>
        <w:gridCol w:w="1606"/>
        <w:gridCol w:w="1606"/>
        <w:gridCol w:w="3427"/>
        <w:gridCol w:w="2142"/>
        <w:gridCol w:w="1713"/>
        <w:gridCol w:w="107"/>
      </w:tblGrid>
      <w:tr>
        <w:tc>
          <w:tcPr>
            <w:tcW w:type="dxa" w:w="10708"/>
            <w:gridSpan w:val="7"/>
            <w:tcBorders>
              <w:bottom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  <w:tr>
        <w:tc>
          <w:tcPr>
            <w:tcW w:type="dxa" w:w="107"/>
            <w:tcBorders>
              <w:top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1606"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1606"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3427"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2142"/>
            <w:tcBorders>
              <w:top w:color="000000" w:sz="0" w:val="none"/>
              <w:left w:color="000000" w:sz="0" w:val="none"/>
              <w:bottom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1713"/>
            <w:vAlign w:val="bottom"/>
          </w:tcPr>
          <w:p>
            <w:pPr>
              <w:spacing w:before="0" w:after="0" w:lineRule="atLeast" w:line="20"/>
              <w:ind w:right="56" w:left="56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КОДЫ</w:t>
            </w:r>
          </w:p>
        </w:tc>
        <w:tc>
          <w:tcPr>
            <w:tcW w:type="dxa" w:w="107"/>
            <w:tcBorders>
              <w:top w:color="000000" w:sz="0" w:val="none"/>
              <w:bottom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  <w:tr>
        <w:tc>
          <w:tcPr>
            <w:tcW w:type="dxa" w:w="107"/>
            <w:tcBorders>
              <w:top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1606"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1606"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3427"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2142"/>
            <w:tcBorders>
              <w:top w:color="000000" w:sz="0" w:val="none"/>
              <w:left w:color="000000" w:sz="0" w:val="none"/>
              <w:bottom w:color="000000" w:sz="0" w:val="none"/>
            </w:tcBorders>
            <w:vAlign w:val="bottom"/>
          </w:tcPr>
          <w:p>
            <w:pPr>
              <w:spacing w:before="0" w:after="0" w:lineRule="atLeast" w:line="20"/>
              <w:ind w:right="56" w:left="56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Форма по ОКУД</w:t>
            </w:r>
          </w:p>
        </w:tc>
        <w:tc>
          <w:tcPr>
            <w:tcW w:type="dxa" w:w="1713"/>
            <w:vAlign w:val="bottom"/>
          </w:tcPr>
          <w:p>
            <w:pPr>
              <w:spacing w:before="0" w:after="0" w:lineRule="atLeast" w:line="20"/>
              <w:ind w:right="56" w:left="56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0503160</w:t>
            </w:r>
          </w:p>
        </w:tc>
        <w:tc>
          <w:tcPr>
            <w:tcW w:type="dxa" w:w="107"/>
            <w:tcBorders>
              <w:top w:color="000000" w:sz="0" w:val="none"/>
              <w:bottom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  <w:tr>
        <w:tc>
          <w:tcPr>
            <w:tcW w:type="dxa" w:w="107"/>
            <w:tcBorders>
              <w:top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1606"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5033"/>
            <w:gridSpan w:val="2"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  <w:vAlign w:val="bottom"/>
          </w:tcPr>
          <w:p>
            <w:pPr>
              <w:spacing w:before="0" w:after="0" w:lineRule="atLeast" w:line="20"/>
              <w:ind w:right="56" w:left="56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 xml:space="preserve">на </w:t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1 января 2026 г.</w:t>
            </w:r>
          </w:p>
        </w:tc>
        <w:tc>
          <w:tcPr>
            <w:tcW w:type="dxa" w:w="2142"/>
            <w:tcBorders>
              <w:top w:color="000000" w:sz="0" w:val="none"/>
              <w:left w:color="000000" w:sz="0" w:val="none"/>
              <w:bottom w:color="000000" w:sz="0" w:val="none"/>
            </w:tcBorders>
            <w:vAlign w:val="bottom"/>
          </w:tcPr>
          <w:p>
            <w:pPr>
              <w:spacing w:before="0" w:after="0" w:lineRule="atLeast" w:line="20"/>
              <w:ind w:right="56" w:left="56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Дата</w:t>
            </w:r>
          </w:p>
        </w:tc>
        <w:tc>
          <w:tcPr>
            <w:tcW w:type="dxa" w:w="1713"/>
            <w:vAlign w:val="bottom"/>
          </w:tcPr>
          <w:p>
            <w:pPr>
              <w:spacing w:before="0" w:after="0" w:lineRule="atLeast" w:line="20"/>
              <w:ind w:right="56" w:left="56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01.01.2026</w:t>
            </w:r>
          </w:p>
        </w:tc>
        <w:tc>
          <w:tcPr>
            <w:tcW w:type="dxa" w:w="107"/>
            <w:tcBorders>
              <w:top w:color="000000" w:sz="0" w:val="none"/>
              <w:bottom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  <w:tr>
        <w:tc>
          <w:tcPr>
            <w:tcW w:type="dxa" w:w="107"/>
            <w:tcBorders>
              <w:top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6639"/>
            <w:gridSpan w:val="3"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  <w:vAlign w:val="top"/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Главный распорядитель, распорядитель,</w:t>
            </w:r>
          </w:p>
        </w:tc>
        <w:tc>
          <w:tcPr>
            <w:tcW w:type="dxa" w:w="2142"/>
            <w:tcBorders>
              <w:top w:color="000000" w:sz="0" w:val="none"/>
              <w:left w:color="000000" w:sz="0" w:val="none"/>
              <w:bottom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1713"/>
          </w:tcPr>
          <w:p>
            <w:pPr>
              <w:spacing w:before="0" w:after="0" w:lineRule="atLeast" w:line="20"/>
              <w:ind w:right="56" w:left="56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107"/>
            <w:tcBorders>
              <w:top w:color="000000" w:sz="0" w:val="none"/>
              <w:bottom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  <w:tr>
        <w:tc>
          <w:tcPr>
            <w:tcW w:type="dxa" w:w="107"/>
            <w:tcBorders>
              <w:top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6639"/>
            <w:gridSpan w:val="3"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  <w:vAlign w:val="top"/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получатель бюджетных средств, главный администратор,</w:t>
            </w:r>
          </w:p>
        </w:tc>
        <w:tc>
          <w:tcPr>
            <w:tcW w:type="dxa" w:w="2142"/>
            <w:tcBorders>
              <w:top w:color="000000" w:sz="0" w:val="none"/>
              <w:left w:color="000000" w:sz="0" w:val="none"/>
              <w:bottom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1713"/>
            <w:vAlign w:val="bottom"/>
          </w:tcPr>
          <w:p>
            <w:pPr>
              <w:spacing w:before="0" w:after="0" w:lineRule="atLeast" w:line="20"/>
              <w:ind w:right="56" w:left="56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ГРБС</w:t>
            </w:r>
          </w:p>
        </w:tc>
        <w:tc>
          <w:tcPr>
            <w:tcW w:type="dxa" w:w="107"/>
            <w:tcBorders>
              <w:top w:color="000000" w:sz="0" w:val="none"/>
              <w:bottom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  <w:tr>
        <w:tc>
          <w:tcPr>
            <w:tcW w:type="dxa" w:w="107"/>
            <w:tcBorders>
              <w:top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6639"/>
            <w:gridSpan w:val="3"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  <w:vAlign w:val="top"/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администратор доходов бюджета,</w:t>
            </w:r>
          </w:p>
        </w:tc>
        <w:tc>
          <w:tcPr>
            <w:tcW w:type="dxa" w:w="2142"/>
            <w:tcBorders>
              <w:top w:color="000000" w:sz="0" w:val="none"/>
              <w:left w:color="000000" w:sz="0" w:val="none"/>
              <w:bottom w:color="000000" w:sz="0" w:val="none"/>
            </w:tcBorders>
            <w:vAlign w:val="bottom"/>
          </w:tcPr>
          <w:p>
            <w:pPr>
              <w:spacing w:before="0" w:after="0" w:lineRule="atLeast" w:line="20"/>
              <w:ind w:right="56" w:left="56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по ОКПО</w:t>
            </w:r>
          </w:p>
        </w:tc>
        <w:tc>
          <w:tcPr>
            <w:tcW w:type="dxa" w:w="1713"/>
            <w:vAlign w:val="bottom"/>
          </w:tcPr>
          <w:p>
            <w:pPr>
              <w:spacing w:before="0" w:after="0" w:lineRule="atLeast" w:line="20"/>
              <w:ind w:right="56" w:left="56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46755815</w:t>
            </w:r>
          </w:p>
        </w:tc>
        <w:tc>
          <w:tcPr>
            <w:tcW w:type="dxa" w:w="107"/>
            <w:tcBorders>
              <w:top w:color="000000" w:sz="0" w:val="none"/>
              <w:bottom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  <w:tr>
        <w:tc>
          <w:tcPr>
            <w:tcW w:type="dxa" w:w="107"/>
            <w:tcBorders>
              <w:top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6639"/>
            <w:gridSpan w:val="3"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  <w:vAlign w:val="top"/>
            <w:vAlign w:val="top"/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главный администратор, администратор</w:t>
            </w:r>
          </w:p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источников финансирования</w:t>
            </w:r>
          </w:p>
        </w:tc>
        <w:tc>
          <w:tcPr>
            <w:tcW w:type="dxa" w:w="2142"/>
            <w:vMerge w:val="restart"/>
            <w:tcBorders>
              <w:top w:color="000000" w:sz="0" w:val="none"/>
              <w:left w:color="000000" w:sz="0" w:val="none"/>
              <w:bottom w:color="000000" w:sz="0" w:val="none"/>
            </w:tcBorders>
            <w:vAlign w:val="bottom"/>
          </w:tcPr>
          <w:p>
            <w:pPr>
              <w:spacing w:before="0" w:after="0" w:lineRule="atLeast" w:line="20"/>
              <w:ind w:right="56" w:left="56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Глава по БК</w:t>
            </w:r>
          </w:p>
        </w:tc>
        <w:tc>
          <w:tcPr>
            <w:tcW w:type="dxa" w:w="1713"/>
            <w:vMerge w:val="restart"/>
            <w:vAlign w:val="bottom"/>
          </w:tcPr>
          <w:p>
            <w:pPr>
              <w:spacing w:before="0" w:after="0" w:lineRule="atLeast" w:line="20"/>
              <w:ind w:right="56" w:left="56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029</w:t>
            </w:r>
          </w:p>
        </w:tc>
        <w:tc>
          <w:tcPr>
            <w:tcW w:type="dxa" w:w="107"/>
            <w:tcBorders>
              <w:top w:color="000000" w:sz="0" w:val="none"/>
              <w:bottom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  <w:tr>
        <w:tc>
          <w:tcPr>
            <w:tcW w:type="dxa" w:w="107"/>
            <w:tcBorders>
              <w:top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3212"/>
            <w:gridSpan w:val="2"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  <w:vAlign w:val="top"/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дефицита бюджета</w:t>
            </w:r>
          </w:p>
        </w:tc>
        <w:tc>
          <w:tcPr>
            <w:tcW w:type="dxa" w:w="3427"/>
            <w:vMerge w:val="restart"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  <w:vAlign w:val="bottom"/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single"/>
                <w:strike w:val="off"/>
              </w:rPr>
              <w:t>УПРАВЛЕНИЕ ПО ИНФОРМАТИКЕ И СВЯЗИ АДМИНИСТРАЦИИ ГОРОДА ОРЕНБУРГА</w:t>
            </w:r>
          </w:p>
        </w:tc>
        <w:tc>
          <w:tcPr>
            <w:tcW w:type="dxa" w:w="2142"/>
            <w:vMerge/>
            <w:tcBorders>
              <w:top w:color="000000" w:sz="0" w:val="none"/>
              <w:left w:color="000000" w:sz="0" w:val="none"/>
              <w:bottom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1713"/>
            <w:vMerge/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107"/>
            <w:tcBorders>
              <w:top w:color="000000" w:sz="0" w:val="none"/>
              <w:bottom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  <w:tr>
        <w:tc>
          <w:tcPr>
            <w:tcW w:type="dxa" w:w="107"/>
            <w:tcBorders>
              <w:top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3212"/>
            <w:gridSpan w:val="2"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3427"/>
            <w:vMerge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2142"/>
            <w:vMerge/>
            <w:tcBorders>
              <w:top w:color="000000" w:sz="0" w:val="none"/>
              <w:left w:color="000000" w:sz="0" w:val="none"/>
              <w:bottom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1713"/>
            <w:vMerge/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107"/>
            <w:tcBorders>
              <w:top w:color="000000" w:sz="0" w:val="none"/>
              <w:bottom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  <w:tr>
        <w:tc>
          <w:tcPr>
            <w:tcW w:type="dxa" w:w="107"/>
            <w:tcBorders>
              <w:top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3212"/>
            <w:gridSpan w:val="2"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  <w:vAlign w:val="top"/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Наименование бюджета</w:t>
            </w:r>
          </w:p>
        </w:tc>
        <w:tc>
          <w:tcPr>
            <w:tcW w:type="dxa" w:w="3427"/>
            <w:vMerge w:val="restart"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  <w:vAlign w:val="bottom"/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single"/>
                <w:strike w:val="off"/>
              </w:rPr>
              <w:t>г.Оренбург</w:t>
            </w:r>
          </w:p>
        </w:tc>
        <w:tc>
          <w:tcPr>
            <w:tcW w:type="dxa" w:w="2142"/>
            <w:vMerge w:val="restart"/>
            <w:tcBorders>
              <w:top w:color="000000" w:sz="0" w:val="none"/>
              <w:left w:color="000000" w:sz="0" w:val="none"/>
              <w:bottom w:color="000000" w:sz="0" w:val="none"/>
            </w:tcBorders>
            <w:vAlign w:val="bottom"/>
          </w:tcPr>
          <w:p>
            <w:pPr>
              <w:spacing w:before="0" w:after="0" w:lineRule="atLeast" w:line="20"/>
              <w:ind w:right="56" w:left="56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по ОКТМО</w:t>
            </w:r>
          </w:p>
        </w:tc>
        <w:tc>
          <w:tcPr>
            <w:tcW w:type="dxa" w:w="1713"/>
            <w:vMerge w:val="restart"/>
            <w:vAlign w:val="bottom"/>
          </w:tcPr>
          <w:p>
            <w:pPr>
              <w:spacing w:before="0" w:after="0" w:lineRule="atLeast" w:line="20"/>
              <w:ind w:right="56" w:left="56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53701000</w:t>
            </w:r>
          </w:p>
        </w:tc>
        <w:tc>
          <w:tcPr>
            <w:tcW w:type="dxa" w:w="107"/>
            <w:tcBorders>
              <w:top w:color="000000" w:sz="0" w:val="none"/>
              <w:bottom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  <w:tr>
        <w:tc>
          <w:tcPr>
            <w:tcW w:type="dxa" w:w="107"/>
            <w:tcBorders>
              <w:top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3212"/>
            <w:gridSpan w:val="2"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  <w:vAlign w:val="top"/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(публично-правового</w:t>
            </w:r>
          </w:p>
        </w:tc>
        <w:tc>
          <w:tcPr>
            <w:tcW w:type="dxa" w:w="3427"/>
            <w:vMerge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2142"/>
            <w:vMerge/>
            <w:tcBorders>
              <w:top w:color="000000" w:sz="0" w:val="none"/>
              <w:left w:color="000000" w:sz="0" w:val="none"/>
              <w:bottom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1713"/>
            <w:vMerge/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107"/>
            <w:tcBorders>
              <w:top w:color="000000" w:sz="0" w:val="none"/>
              <w:bottom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  <w:tr>
        <w:tc>
          <w:tcPr>
            <w:tcW w:type="dxa" w:w="107"/>
            <w:tcBorders>
              <w:top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3212"/>
            <w:gridSpan w:val="2"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  <w:vAlign w:val="top"/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образования)</w:t>
            </w:r>
          </w:p>
        </w:tc>
        <w:tc>
          <w:tcPr>
            <w:tcW w:type="dxa" w:w="3427"/>
            <w:vMerge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2142"/>
            <w:vMerge/>
            <w:tcBorders>
              <w:top w:color="000000" w:sz="0" w:val="none"/>
              <w:left w:color="000000" w:sz="0" w:val="none"/>
              <w:bottom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1713"/>
            <w:vMerge/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107"/>
            <w:tcBorders>
              <w:top w:color="000000" w:sz="0" w:val="none"/>
              <w:bottom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  <w:tr>
        <w:tc>
          <w:tcPr>
            <w:tcW w:type="dxa" w:w="107"/>
            <w:tcBorders>
              <w:top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8781"/>
            <w:gridSpan w:val="4"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  <w:vAlign w:val="center"/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 xml:space="preserve">Периодичность: </w:t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месячная, квартальная, годовая</w:t>
            </w:r>
          </w:p>
        </w:tc>
        <w:tc>
          <w:tcPr>
            <w:tcW w:type="dxa" w:w="1713"/>
          </w:tcPr>
          <w:p>
            <w:pPr>
              <w:spacing w:before="0" w:after="0" w:lineRule="atLeast" w:line="20"/>
              <w:ind w:right="56" w:left="56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107"/>
            <w:tcBorders>
              <w:top w:color="000000" w:sz="0" w:val="none"/>
              <w:bottom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  <w:tr>
        <w:tc>
          <w:tcPr>
            <w:tcW w:type="dxa" w:w="107"/>
            <w:tcBorders>
              <w:top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3212"/>
            <w:gridSpan w:val="2"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  <w:vAlign w:val="top"/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Единица измерения: руб.</w:t>
            </w:r>
          </w:p>
        </w:tc>
        <w:tc>
          <w:tcPr>
            <w:tcW w:type="dxa" w:w="3427"/>
            <w:tcBorders>
              <w:top w:color="000000" w:sz="0" w:val="none"/>
              <w:left w:color="000000" w:sz="0" w:val="none"/>
              <w:bottom w:color="000000" w:sz="0" w:val="none"/>
              <w:right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2142"/>
            <w:tcBorders>
              <w:top w:color="000000" w:sz="0" w:val="none"/>
              <w:left w:color="000000" w:sz="0" w:val="none"/>
              <w:bottom w:color="000000" w:sz="0" w:val="none"/>
            </w:tcBorders>
            <w:vAlign w:val="bottom"/>
          </w:tcPr>
          <w:p>
            <w:pPr>
              <w:spacing w:before="0" w:after="0" w:lineRule="atLeast" w:line="20"/>
              <w:ind w:right="56" w:left="56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по ОКЕИ</w:t>
            </w:r>
          </w:p>
        </w:tc>
        <w:tc>
          <w:tcPr>
            <w:tcW w:type="dxa" w:w="1713"/>
            <w:vAlign w:val="bottom"/>
          </w:tcPr>
          <w:p>
            <w:pPr>
              <w:spacing w:before="0" w:after="0" w:lineRule="atLeast" w:line="20"/>
              <w:ind w:right="56" w:left="56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383</w:t>
            </w:r>
          </w:p>
        </w:tc>
        <w:tc>
          <w:tcPr>
            <w:tcW w:type="dxa" w:w="107"/>
            <w:tcBorders>
              <w:top w:color="000000" w:sz="0" w:val="none"/>
              <w:bottom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  <w:tr>
        <w:tc>
          <w:tcPr>
            <w:tcW w:type="dxa" w:w="10708"/>
            <w:gridSpan w:val="7"/>
            <w:tcBorders>
              <w:top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</w:tbl>
    <w:p>
      <w:pPr>
        <w:spacing w:before="0" w:after="0" w:lineRule="auto" w:line="240"/>
        <w:ind w:right="0" w:left="0" w:firstLine="0"/>
        <w:jc w:val="center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  <w:b w:val="off"/>
          <w:i w:val="off"/>
          <w:strike w:val="off"/>
        </w:rPr>
      </w:r>
      <w:r>
        <w:rPr>
          <w:sz w:val="28"/>
          <w:rFonts w:ascii="Times New Roman" w:hAnsi="Times New Roman" w:cs="Times New Roman" w:eastAsia="Times New Roman"/>
          <w:u w:val="none"/>
          <w:b w:val="on"/>
        </w:rPr>
        <w:t>Раздел 1 "Организационная структура субъекта бюджетной отчетности"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Управление по информатике и связи администрации города Оренбурга (далее – Управление) является отраслевым (функциональным) органом Администрации города Оренбурга, обладает правами юридического лица и, в соответствии с решением Оренбургского городского Совета от 11.10.2019 № 757 «Об утверждении структуры Администрации города Оренбурга», находится в непосредственном подчинении первого заместителя Главы города Оренбурга. Учредителем Управления является Оренбургский городской Совет. Согласно внесенным изменениям в решение ОГС от 25.12.2025 № 43 «О внесении изменений в решение  </w:t>
      </w:r>
    </w:p>
    <w:p>
      <w:pPr>
        <w:spacing w:before="0" w:after="0"/>
        <w:ind w:right="0" w:left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Оренбургского городского Совета от 11.10.2019 № 757» Управление переподчинено</w:t>
      </w:r>
      <w:r>
        <w:rPr>
          <w:sz w:val="28"/>
          <w:rFonts w:ascii="Times New Roman" w:hAnsi="Times New Roman" w:cs="Times New Roman" w:eastAsia="Times New Roman"/>
          <w:u w:val="none"/>
          <w:color w:val="000000"/>
        </w:rPr>
        <w:t> заместителю Главы города Оренбурга по общественной безопасности и взаимодействию с правоохранительными органами администрации города Оренбурга.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Сокращенное наименование – УИС администрации г. Оренбурга.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Юридический адрес: 460000, г. Оренбург, ул. Советская, 60. Фактический (почтовый) адрес: 460000, г. Оренбург, ул. Советская, 60.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ИНН 5610057198,  КПП 561001001, ОКПО 46755815, ОКТМО 53701000, ОГРН 1025601028067. Организационно-правовая форма (ОКОПФ): 75404 –Муниципальные казенные учреждения. ОКВЭД 62.01, 62.02.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Управление действует на основании Положения об управлении по информатике и связи администрации города Оренбурга, утвержденного решением Оренбургского городского Совета от 25.04.2011 № 143 (с изменениями и дополнениями). Обеспечивает реализацию полномочий Администрации города Оренбурга в области единой политики в сфере информационных технологий, связи и телекоммуникаций: создание, развитие и эффективное использование современных информационно-вычислительных и информационно-телекоммуникационных технологий в различных отраслях городского хозяйства и управления городом. В своей деятельности руководствуется Конституцией Российской Федерации, федеральным законодательством, законами и правовыми актами Оренбургской области, Уставом муниципального образования «город Оренбург» и иными муниципальными правовыми актами города Оренбурга.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Управление наделено правами главного распорядителя бюджетных средств и главного администратора доходов бюджета. Код главного администратора бюджетных средств – 029. Бюджетные полномочия в отчетном периоде у Управления не изменялись.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Имеет самостоятельный баланс, печать со своим наименованием и изображением герба города Оренбурга, фирменные штампы и бланки установленного образца. В состав Управления входят следующие подразделения: отдел цифровой трансформации муниципального управления и сопровождения информационных систем, отдел цифровой инфраструктуры и отдел по защите информации.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Управление владеет, пользуется и распоряжается закрепленным за ним на праве оперативного управления муниципальным имуществом в соответствии с действующем законодательством. 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В Управлении Федерального Казначейства по Оренбургской области открыт лицевой счет администратора доходов бюджета – 04533034850.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В финансовом управлении администрации города Оренбурга Управлению открыты лицевые счета: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029.10.001.1 – лицевой счет получателя бюджетных средств;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029.10.001.3 – лицевой счет для отражения операций со средствами, поступающими во временное распоряжение.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Банковских счетов в кредитных организациях Управление не имеет. 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Руководство Управлением осуществляется начальником управления, назначенным на должность Главой города Оренбурга. 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Полномочия по ведению бюджетного учета, включая составление и представление бюджетной  отчетности, переданы на основании постановления Администрации города Оренбурга «О передаче полномочий Администрации города Оренбурга, отраслевых (функциональных) и территориальных органов   Администрации города Оренбурга и подведомственных им муниципальных казенных учреждений города Оренбурга и признании утратившими силу отдельных правовых актов Администрации города Оренбурга» от 21.12.2022 № 2298-п муниципальному казенному учреждению «Центр муниципальных расчетов» (далее – МКУ ЦМР).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Годовую бюджетную отчетность составил главный бухгалтер МКУ «ЦМР» Дрыганова Н.Е.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Право первой подписи имеет исполняющий обязанности начальника управления. Правом второй подписи обладают директор и главный бухгалтер МКУ «ЦМР». 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Органом, осуществляющим внешний государственный (муниципальный) финансовый контроль, является </w:t>
      </w:r>
      <w:r>
        <w:rPr>
          <w:sz w:val="28"/>
          <w:rFonts w:ascii="Times New Roman" w:hAnsi="Times New Roman" w:cs="Times New Roman" w:eastAsia="Times New Roman"/>
          <w:u w:val="none"/>
          <w:color w:val="000000"/>
        </w:rPr>
        <w:t>Счетная палата города Оренбурга.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Управление не является учредителем муниципальных учреждений и предприятий.</w:t>
      </w:r>
    </w:p>
    <w:p>
      <w:pPr>
        <w:spacing w:before="0" w:after="0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 w:lineRule="auto" w:line="240"/>
        <w:ind w:right="0" w:left="0" w:firstLine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  <w:b w:val="off"/>
          <w:i w:val="off"/>
          <w:strike w:val="off"/>
        </w:rPr>
      </w:r>
    </w:p>
    <w:p>
      <w:pPr>
        <w:spacing w:before="0" w:after="0" w:lineRule="auto" w:line="240"/>
        <w:ind w:right="0" w:left="0" w:firstLine="0"/>
        <w:jc w:val="center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  <w:b w:val="off"/>
          <w:i w:val="off"/>
          <w:strike w:val="off"/>
        </w:rPr>
      </w:r>
      <w:r>
        <w:rPr>
          <w:sz w:val="28"/>
          <w:rFonts w:ascii="Times New Roman" w:hAnsi="Times New Roman" w:cs="Times New Roman" w:eastAsia="Times New Roman"/>
          <w:u w:val="none"/>
          <w:b w:val="on"/>
        </w:rPr>
        <w:t>Раздел 2 "Результаты деятельности субъекта бюджетной отчетности"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  <w:color w:val="000000"/>
        </w:rPr>
        <w:t>Штатная численность Управления составляет на отчетную дату 22 единицы. Работники Управления, замещающие должности муниципальной службы, имеют права и несут обязанности, предусмотренные законодательством о муниципальной службе в Российской Федерации. Фактическая численность работников на конец отчетного периода составила 18 человек. </w:t>
      </w:r>
    </w:p>
    <w:p>
      <w:pPr>
        <w:spacing w:before="0" w:after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         В отчетном периоде проводилось повышение квалификации сотрудников по следующим направлениям:</w:t>
      </w:r>
    </w:p>
    <w:p>
      <w:pPr>
        <w:spacing w:before="0" w:after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       «Руководители (заместители) спасательных служб». 1 муниципальный служащий прошел переподготовку.</w:t>
      </w:r>
    </w:p>
    <w:p>
      <w:pPr>
        <w:spacing w:before="0" w:after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         «Председатель и члены КЧС и ОПБ муниципальных образований». 1 муниципальный служащий прошел переподготовку.</w:t>
      </w:r>
    </w:p>
    <w:p>
      <w:pPr>
        <w:spacing w:before="0" w:after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         «Защита информации и защита персональных данных» 2 муниципальных служащих прошли переподготовку.</w:t>
      </w:r>
    </w:p>
    <w:p>
      <w:pPr>
        <w:spacing w:before="0" w:after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         «Основы профилактики коррупции» 11 муниципальных служащих прошли переподготовку.</w:t>
      </w:r>
    </w:p>
    <w:p>
      <w:pPr>
        <w:spacing w:before="0" w:after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         «Противодействие коррупции в сфере закупок» 1 муниципальный служащий прошел переподготовку.</w:t>
      </w:r>
    </w:p>
    <w:p>
      <w:pPr>
        <w:spacing w:before="0" w:after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         «Противодействие коррупции в системе ГМУ» 1 муниципальный служащий прошел переподготовку.</w:t>
      </w:r>
    </w:p>
    <w:p>
      <w:pPr>
        <w:spacing w:before="0" w:after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         «Кадровое делопроизводство в организации» 1 муниципальный служащий прошел переподготовку.</w:t>
      </w:r>
    </w:p>
    <w:p>
      <w:pPr>
        <w:spacing w:before="0" w:after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         «Антимонопольный комплаенс» 2 муниципальных служащих прошли переподготовку.</w:t>
      </w:r>
    </w:p>
    <w:p>
      <w:pPr>
        <w:spacing w:before="0" w:after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         Всего на сумму 61000,00 руб.</w:t>
      </w:r>
    </w:p>
    <w:p>
      <w:pPr>
        <w:spacing w:before="0" w:after="0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  <w:ind w:firstLine="566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Согласно приказу финансового управления администрации г. Оренбурга от 07.11.2014 № 71 прилагается дополнительная форма бюджетной отчётности «Сведения о работе муниципальных учреждений города Оренбурга с кредитными учреждениями по реализации зарплатных проектов». </w:t>
      </w:r>
    </w:p>
    <w:p>
      <w:pPr>
        <w:spacing w:before="0" w:after="0"/>
        <w:ind w:firstLine="72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  <w:color w:val="000000"/>
        </w:rPr>
        <w:t>В Управлении в целях эффективности использования бюджетных средств регулярно проводятся мероприятия по экономии финансовых, материально-технических и энергетических ресурсов. В связи с этим установлены приборы учета энергоресурсов в местах подключения системы «Безопасный город».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  <w:color w:val="000000"/>
        </w:rPr>
        <w:t>Обеспечение основными средствами осуществляется за счет средств бюджета.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  <w:color w:val="000000"/>
        </w:rPr>
        <w:t>Временно неэксплуатируемых (неиспользуемых) основных средств основных средств, изъятых из эксплуатации или удерживаемых до их выбытия в управлении нет. Недостачи и порча имущества в отчетном периоде не выявлены. Объекты аренды у Управления отсутствуют.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  <w:color w:val="000000"/>
        </w:rPr>
        <w:t>Сведения о техническом состоянии основных фондов: 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 xml:space="preserve">показателями технического состояния основных фондов являются коэффициенты износа и годности. Коэффициент износа определяется как отношение суммы износа к первоначальной стоимости основных средств. И коэффициент годности - это отношение остаточной стоимости основных фондов к первоначальной. По состоянию на 01.01.2026 первоначальная стоимость ОС в 2025 году составила </w:t>
      </w:r>
      <w:r>
        <w:rPr>
          <w:sz w:val="28"/>
          <w:rFonts w:ascii="Times New Roman" w:hAnsi="Times New Roman" w:cs="Times New Roman" w:eastAsia="Times New Roman"/>
          <w:u w:val="none"/>
          <w:color w:val="000000"/>
        </w:rPr>
        <w:rPr>
          <w:shd w:fill="FFFFFF"/>
        </w:rPr>
        <w:t>137037698,32 </w:t>
      </w:r>
      <w:r>
        <w:rPr>
          <w:sz w:val="28"/>
          <w:rFonts w:ascii="Times New Roman" w:hAnsi="Times New Roman" w:cs="Times New Roman" w:eastAsia="Times New Roman"/>
          <w:u w:val="none"/>
        </w:rPr>
        <w:t>руб., остаточная стоимость ОС – 35307505,76 руб., сумма накопленной амортизации ОС составила  </w:t>
      </w:r>
      <w:r>
        <w:rPr>
          <w:sz w:val="28"/>
          <w:rFonts w:ascii="Times New Roman" w:hAnsi="Times New Roman" w:cs="Times New Roman" w:eastAsia="Times New Roman"/>
          <w:u w:val="none"/>
          <w:color w:val="000000"/>
        </w:rPr>
        <w:rPr>
          <w:shd w:fill="FFFFFF"/>
        </w:rPr>
        <w:t>101730192,56 </w:t>
      </w:r>
      <w:r>
        <w:rPr>
          <w:sz w:val="28"/>
          <w:rFonts w:ascii="Times New Roman" w:hAnsi="Times New Roman" w:cs="Times New Roman" w:eastAsia="Times New Roman"/>
          <w:u w:val="none"/>
        </w:rPr>
        <w:t>руб.: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1. Коэффициент годности составил 0,26. 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2. Коэффициент износа составил 0,74.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  <w:color w:val="000000"/>
        </w:rPr>
        <w:t>Сведения об эффективности использования основных фондов:</w:t>
      </w:r>
    </w:p>
    <w:p>
      <w:pPr>
        <w:spacing w:before="0" w:after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 xml:space="preserve">для оценки эффективности использования основных фондов используются коэффициенты обновления, выбытия и прироста; которые также характеризуют техническое состояние основных средств. Коэффициент обновления отражает интенсивность обновления основных фондов и исчисляется как отношение стоимости вновь поступивших за отчетный период основных средств и их стоимости на конец этого же периода. Коэффициент выбытия характеризует степень интенсивности выбытия основных фондов из сферы производства и рассчитывается как отношение стоимости выбывших за отчетный период основных фондов к их стоимости на начало этого же периода. Коэффициент прироста характеризует уровень прироста основных фондов за определенный период и рассчитывается как отношение стоимости прироста основных фондов к их стоимости на конец периода. По состоянию на 01.01.2026 стоимость поступивших ОС составила 17647552,04 руб., стоимость выбывших ОС – 129338,67 руб., стоимость ОС на начало периода – </w:t>
      </w:r>
      <w:r>
        <w:rPr>
          <w:sz w:val="28"/>
          <w:rFonts w:ascii="Times New Roman" w:hAnsi="Times New Roman" w:cs="Times New Roman" w:eastAsia="Times New Roman"/>
          <w:u w:val="none"/>
          <w:color w:val="000000"/>
        </w:rPr>
        <w:rPr>
          <w:shd w:fill="FFFFFF"/>
        </w:rPr>
        <w:t>119519484,95 </w:t>
      </w:r>
      <w:r>
        <w:rPr>
          <w:sz w:val="28"/>
          <w:rFonts w:ascii="Times New Roman" w:hAnsi="Times New Roman" w:cs="Times New Roman" w:eastAsia="Times New Roman"/>
          <w:u w:val="none"/>
        </w:rPr>
        <w:t>руб., стоимость ОС на конец 2025 составила 137037698,32 руб.: </w:t>
      </w:r>
    </w:p>
    <w:p>
      <w:pPr>
        <w:spacing w:before="0" w:after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1. Коэффициент обновления – 0,13.</w:t>
      </w:r>
    </w:p>
    <w:p>
      <w:pPr>
        <w:spacing w:before="0" w:after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2. Коэффициент выбытия – 0,001.</w:t>
      </w:r>
    </w:p>
    <w:p>
      <w:pPr>
        <w:spacing w:before="0" w:after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3. Коэффициент прироста – 0,13.</w:t>
      </w:r>
    </w:p>
    <w:p>
      <w:pPr>
        <w:spacing w:before="0" w:after="0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Величина состава и технического уровня фондов учреждения с реальной потребностью в них (обеспеченность основными фондами) составляет 100%.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  <w:color w:val="000000"/>
        </w:rPr>
        <w:t>Техническое состояние основных средств управления находится на хорошем уровне. В управлении своевременно проводятся диагностика, техническое обслуживание, ремонт основных средств. Сохранность основных средств обеспечивается посредством их закрепления за материально-ответственными лицами. 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  <w:color w:val="000000"/>
        </w:rPr>
        <w:t>Характеристика комплектности: в отчетном периоде в учреждении ОС не разукомплектовывались и недоукомплектовывались.</w:t>
      </w:r>
    </w:p>
    <w:p>
      <w:pPr>
        <w:spacing w:before="0" w:after="0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  <w:ind w:firstLine="566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  <w:color w:val="000000"/>
        </w:rPr>
        <w:t>Материальные запасы поступают своевременно на основании первичных учетных документов в полной комплектации. </w:t>
      </w:r>
    </w:p>
    <w:p>
      <w:pPr>
        <w:spacing w:before="0" w:after="0"/>
        <w:ind w:firstLine="72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>Для эффективного и экономного расходования бюджетных средств Управление осуществляются закупки товаров, работ и услуг с применением конкурентных процедур в соответствии с  Федеральным законом от 05.04.2013 № 44-ФЗ. </w:t>
      </w:r>
    </w:p>
    <w:p>
      <w:pPr>
        <w:spacing w:before="0" w:after="0"/>
        <w:ind w:firstLine="561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  <w:color w:val="000000"/>
        </w:rPr>
        <w:t>За отчетный период заключено 53 контракт в том числе: </w:t>
      </w:r>
    </w:p>
    <w:p>
      <w:pPr>
        <w:spacing w:before="0" w:after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  <w:color w:val="000000"/>
        </w:rPr>
        <w:t>30 контрактов с единственным поставщиком (подрядчиком, исполнителем) на основании ч. 1 ст. 93 Закона № 44-ФЗ в том числе: 30 контрактов на основании п. 4 ч. 1 ст. 93 Закона № 44-ФЗ. </w:t>
      </w:r>
    </w:p>
    <w:p>
      <w:pPr>
        <w:spacing w:before="0" w:after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  <w:color w:val="000000"/>
        </w:rPr>
        <w:t>         По результатам проведения запросов котировок в электронной форме заключено 9 контрактов. </w:t>
      </w:r>
    </w:p>
    <w:p>
      <w:pPr>
        <w:spacing w:before="0" w:after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  <w:color w:val="000000"/>
        </w:rPr>
        <w:t>         По результатам проведения открытого аукциона в электронной форме заключено 14 контрактов.</w:t>
      </w:r>
    </w:p>
    <w:p>
      <w:pPr>
        <w:spacing w:before="0" w:after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  <w:color w:val="000000"/>
        </w:rPr>
        <w:t>         Количество конкурентных процедур, признанных несостоявшимися, составляет 17 (подана одна заявка на участие в конкурсе). </w:t>
      </w:r>
    </w:p>
    <w:p>
      <w:pPr>
        <w:spacing w:before="0" w:after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</w:rPr>
      </w:r>
      <w:r>
        <w:rPr>
          <w:sz w:val="2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  <w:color w:val="000000"/>
        </w:rPr>
        <w:t>         Экономия бюджетных средств в результате применения конкурентных способов составила 330877,20 руб. в 2025 году, 2,49 руб. - в 2026 году</w:t>
      </w:r>
    </w:p>
    <w:p>
      <w:pPr>
        <w:spacing w:before="0" w:after="0" w:lineRule="auto" w:line="240"/>
        <w:ind w:right="0" w:left="0" w:firstLine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  <w:b w:val="off"/>
          <w:i w:val="off"/>
          <w:strike w:val="off"/>
        </w:rPr>
      </w:r>
    </w:p>
    <w:p>
      <w:pPr>
        <w:spacing w:before="0" w:after="0" w:lineRule="auto" w:line="240"/>
        <w:ind w:right="0" w:left="0" w:firstLine="0"/>
        <w:jc w:val="center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  <w:b w:val="off"/>
          <w:i w:val="off"/>
          <w:strike w:val="off"/>
        </w:rPr>
      </w:r>
      <w:r>
        <w:rPr>
          <w:sz w:val="28"/>
          <w:rFonts w:ascii="Times New Roman" w:hAnsi="Times New Roman" w:cs="Times New Roman" w:eastAsia="Times New Roman"/>
          <w:u w:val="none"/>
          <w:b w:val="on"/>
        </w:rPr>
        <w:t>Раздел 3 "Анализ отчета об исполнении бюджета субъектом бюджетной отчетности"</w:t>
      </w:r>
    </w:p>
    <w:p>
      <w:pPr>
        <w:spacing w:before="0" w:after="0"/>
        <w:ind w:firstLine="540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Информация, характеризующая результаты анализа исполнения текстовых статей закона (решения) о бюджете, имеющих отношение к деятельности управления, в целях раскрытия информации о результатах использования бюджетных ассигнований отчетного финансового года, отсутствует.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По кодам доходов бюджетной классификации, закрепленным за Управлением, данных для расчета прогнозирования поступлений доходов нет. Таким образом, плановые показатели поступлений доходов в бюджет города Оренбург на 2025 год и плановый период 2026-2027 годов в Управлении отсутствуют. В отчетном периоде в бюджет города Оренбурга не поступило администрируемых Управлением неналоговых доходов.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Бюджетные обязательства (денежные обязательства) сверх утвержденного объема бюджетных ассигнований и лимитов бюджетных обязательств Управлением не принимались. Все лимиты бюджетных обязательств израсходованы по своему целевому назначению.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Форма 0503164 «Сведения об исполнении бюджета». В соответствии с приказом финансового управления администрации города Оренбурга от 18.03.2019 № 27 «Об установлении Порядка составления, представления бюджетной отчетности и сводной бухгалтерской отчетности» в форме отражаются показатели, по которым исполнение составило менее 95% и более 105%</w:t>
      </w:r>
      <w:r>
        <w:rPr>
          <w:sz w:val="38"/>
          <w:rFonts w:ascii="Times New Roman" w:hAnsi="Times New Roman" w:cs="Times New Roman" w:eastAsia="Times New Roman"/>
          <w:u w:val="none"/>
          <w:color w:val="000000"/>
        </w:rPr>
        <w:t> </w:t>
      </w:r>
      <w:r>
        <w:rPr>
          <w:sz w:val="38"/>
          <w:rFonts w:ascii="Times New Roman" w:hAnsi="Times New Roman" w:cs="Times New Roman" w:eastAsia="Times New Roman"/>
          <w:u w:val="none"/>
        </w:rPr>
        <w:t>по доходам и по расходам бюджета, исполнение по которым за отчетный период составило менее 95% от утвержденных годовых назначений с указанием причин неисполнения.</w:t>
      </w:r>
    </w:p>
    <w:p>
      <w:pPr>
        <w:spacing w:before="0" w:after="0"/>
        <w:ind w:firstLine="540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 xml:space="preserve">Процент исполнения по расходам составил 99,61% или </w:t>
      </w:r>
      <w:r>
        <w:rPr>
          <w:sz w:val="38"/>
          <w:rFonts w:ascii="Times New Roman" w:hAnsi="Times New Roman" w:cs="Times New Roman" w:eastAsia="Times New Roman"/>
          <w:u w:val="none"/>
          <w:color w:val="000000"/>
        </w:rPr>
        <w:rPr>
          <w:shd w:fill="FFFFFF"/>
        </w:rPr>
        <w:t>105799906,15 </w:t>
      </w:r>
      <w:r>
        <w:rPr>
          <w:sz w:val="38"/>
          <w:rFonts w:ascii="Times New Roman" w:hAnsi="Times New Roman" w:cs="Times New Roman" w:eastAsia="Times New Roman"/>
          <w:u w:val="none"/>
        </w:rPr>
        <w:t xml:space="preserve">руб. от утвержденных годовых бюджетных назначений </w:t>
      </w:r>
      <w:r>
        <w:rPr>
          <w:sz w:val="38"/>
          <w:rFonts w:ascii="Times New Roman" w:hAnsi="Times New Roman" w:cs="Times New Roman" w:eastAsia="Times New Roman"/>
          <w:u w:val="none"/>
          <w:color w:val="000000"/>
        </w:rPr>
        <w:rPr>
          <w:shd w:fill="FFFFFF"/>
        </w:rPr>
        <w:t>106215375,28 </w:t>
      </w:r>
      <w:r>
        <w:rPr>
          <w:sz w:val="38"/>
          <w:rFonts w:ascii="Times New Roman" w:hAnsi="Times New Roman" w:cs="Times New Roman" w:eastAsia="Times New Roman"/>
          <w:u w:val="none"/>
        </w:rPr>
        <w:t>руб. В таблице ниже приведена расшифровка кода причины неисполнения 99 по целевой статье, исполнение по которой составило менее указанного процента исполнения.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tbl>
      <w:tblPr>
        <w:tblW w:w="10711" w:type="dxa"/>
        <w:tblBorders>
          <w:top w:val="single" w:sz="8"/>
          <w:left w:val="single" w:sz="8"/>
          <w:bottom w:val="single" w:sz="8"/>
          <w:right w:val="single" w:sz="8"/>
          <w:insideH w:val="single" w:sz="8"/>
          <w:insideV w:val="single" w:sz="8"/>
        </w:tblBorders>
        <w:tblLayout w:type="fixed"/>
      </w:tblPr>
      <w:tblGrid>
        <w:gridCol w:w="1338"/>
        <w:gridCol w:w="1338"/>
        <w:gridCol w:w="1338"/>
        <w:gridCol w:w="1338"/>
        <w:gridCol w:w="1338"/>
        <w:gridCol w:w="1338"/>
        <w:gridCol w:w="1338"/>
        <w:gridCol w:w="1338"/>
      </w:tblGrid>
      <w:tr>
        <w:trPr>
          <w:tblHeader/>
        </w:trPr>
        <w:tc>
          <w:tcPr>
            <w:tcW w:type="dxa" w:w="1338"/>
            <w:vMerge w:val="restart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Код по бюджетной классификации</w:t>
            </w:r>
          </w:p>
        </w:tc>
        <w:tc>
          <w:tcPr>
            <w:tcW w:type="dxa" w:w="1338"/>
            <w:vMerge w:val="restart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Утвержденные бюджетные назначения (прогнозные показатели)</w:t>
            </w:r>
          </w:p>
        </w:tc>
        <w:tc>
          <w:tcPr>
            <w:tcW w:type="dxa" w:w="1338"/>
            <w:vMerge w:val="restart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Доведенные бюджетные данные</w:t>
            </w:r>
          </w:p>
        </w:tc>
        <w:tc>
          <w:tcPr>
            <w:tcW w:type="dxa" w:w="1338"/>
            <w:vMerge w:val="restart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Исполнено,</w:t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 руб.</w:t>
            </w:r>
          </w:p>
        </w:tc>
        <w:tc>
          <w:tcPr>
            <w:tcW w:type="dxa" w:w="2676"/>
            <w:gridSpan w:val="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Показатели исполнения</w:t>
            </w:r>
          </w:p>
        </w:tc>
        <w:tc>
          <w:tcPr>
            <w:tcW w:type="dxa" w:w="2676"/>
            <w:gridSpan w:val="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Причины отклонений от планового процента</w:t>
            </w:r>
          </w:p>
        </w:tc>
      </w:tr>
      <w:tr>
        <w:tc>
          <w:tcPr>
            <w:tcW w:type="dxa" w:w="1338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338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338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338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процент исполнения¹,</w:t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 %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  <w:i w:val="on"/>
              </w:rPr>
              <w:t>сумма отклонения, руб.</w:t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  <w:i w:val="on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  <w:i w:val="on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  <w:i w:val="on"/>
              </w:rPr>
              <w:t> (гр. 4 - гр. 2)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  <w:i w:val="on"/>
              </w:rPr>
              <w:t>код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пояснения</w:t>
            </w:r>
          </w:p>
        </w:tc>
      </w:tr>
      <w:tr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1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2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3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4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5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6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7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8</w:t>
            </w:r>
          </w:p>
        </w:tc>
      </w:tr>
      <w:tr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 025 0705 5840100000 000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4 000,00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4 000,00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3 600,00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90,00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-400,00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99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Arial" w:hAnsi="Times New Roman" w:cs="Times New Roman" w:eastAsia="Times New Roman"/>
                <w:u w:val="none"/>
                <w:color w:val="000000"/>
              </w:rPr>
              <w:t>поставщик предложил более низкую цену за услуги, чем планировалось</w:t>
            </w:r>
          </w:p>
        </w:tc>
      </w:tr>
    </w:tbl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Федеральные целевые программы, национальные и инвестиционные проекты Управлением не исполнялись.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Деятельность Управления в отчетном периоде определяется положениями трех муниципальных программ. Сведения об исполнении мероприятий в рамках муниципальных программ представлены в Приложении 2 к пояснительной записке. Анализ исполнения бюджета по расходам представлен в Приложении 3 к пояснительной записке.</w:t>
      </w:r>
    </w:p>
    <w:p>
      <w:pPr>
        <w:spacing w:before="0" w:after="0" w:lineRule="auto" w:line="240"/>
        <w:ind w:right="0" w:left="0" w:firstLine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  <w:b w:val="off"/>
          <w:i w:val="off"/>
          <w:strike w:val="off"/>
        </w:rPr>
      </w:r>
    </w:p>
    <w:p>
      <w:pPr>
        <w:spacing w:before="0" w:after="0" w:lineRule="auto" w:line="240"/>
        <w:ind w:right="0" w:left="0" w:firstLine="0"/>
        <w:jc w:val="center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  <w:b w:val="off"/>
          <w:i w:val="off"/>
          <w:strike w:val="off"/>
        </w:rPr>
      </w:r>
      <w:r>
        <w:rPr>
          <w:sz w:val="28"/>
          <w:rFonts w:ascii="Times New Roman" w:hAnsi="Times New Roman" w:cs="Times New Roman" w:eastAsia="Times New Roman"/>
          <w:u w:val="none"/>
          <w:b w:val="on"/>
        </w:rPr>
        <w:t>Раздел 4 "Анализ показателей бухгалтерской отчетности субъекта бюджетной отчетности"</w:t>
      </w:r>
    </w:p>
    <w:p>
      <w:pPr>
        <w:spacing w:before="0" w:after="0"/>
        <w:jc w:val="center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Расшифровка к Отчету о финансовых результатах деятельности</w:t>
      </w:r>
    </w:p>
    <w:p>
      <w:pPr>
        <w:spacing w:before="0" w:after="0"/>
        <w:jc w:val="center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ф. 0503121 на 01.01.2026</w:t>
      </w:r>
    </w:p>
    <w:p>
      <w:pPr>
        <w:spacing w:before="0" w:after="0"/>
        <w:jc w:val="center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по КОСГУ: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firstLine="851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172 Доходы от выбытия активов;</w:t>
      </w:r>
    </w:p>
    <w:p>
      <w:pPr>
        <w:spacing w:before="0" w:after="0"/>
        <w:ind w:firstLine="851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173 Чрезвычайные доходы от операций с активами;</w:t>
      </w:r>
    </w:p>
    <w:p>
      <w:pPr>
        <w:spacing w:before="0" w:after="0"/>
        <w:ind w:firstLine="851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174 Выпадающие доходы;</w:t>
      </w:r>
    </w:p>
    <w:p>
      <w:pPr>
        <w:spacing w:before="0" w:after="0"/>
        <w:ind w:firstLine="851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176 Доходы от оценки активов и обязательств;</w:t>
      </w:r>
    </w:p>
    <w:p>
      <w:pPr>
        <w:spacing w:before="0" w:after="0"/>
        <w:ind w:firstLine="851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189 Иные доходы;</w:t>
      </w:r>
    </w:p>
    <w:p>
      <w:pPr>
        <w:spacing w:before="0" w:after="0"/>
        <w:ind w:firstLine="851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199 Прочие неденежные безвозмездные поступления.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tbl>
      <w:tblPr>
        <w:tblW w:w="10711" w:type="dxa"/>
        <w:tblBorders>
          <w:top w:val="single" w:sz="8"/>
          <w:left w:val="single" w:sz="8"/>
          <w:bottom w:val="single" w:sz="8"/>
          <w:right w:val="single" w:sz="8"/>
          <w:insideH w:val="single" w:sz="8"/>
          <w:insideV w:val="single" w:sz="8"/>
        </w:tblBorders>
        <w:tblLayout w:type="fixed"/>
      </w:tblPr>
      <w:tblGrid>
        <w:gridCol w:w="3570"/>
        <w:gridCol w:w="3570"/>
        <w:gridCol w:w="3570"/>
      </w:tblGrid>
      <w:tr>
        <w:trPr>
          <w:tblHeader/>
        </w:trPr>
        <w:tc>
          <w:tcPr>
            <w:tcW w:type="dxa" w:w="3570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color w:val="000000"/>
              </w:rPr>
              <w:t>КОСГУ</w:t>
            </w:r>
          </w:p>
        </w:tc>
        <w:tc>
          <w:tcPr>
            <w:tcW w:type="dxa" w:w="3570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color w:val="000000"/>
              </w:rPr>
              <w:t>Сумма, руб.</w:t>
            </w:r>
          </w:p>
        </w:tc>
        <w:tc>
          <w:tcPr>
            <w:tcW w:type="dxa" w:w="3570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color w:val="000000"/>
              </w:rPr>
              <w:t>Пояснение</w:t>
            </w:r>
          </w:p>
        </w:tc>
      </w:tr>
      <w:tr>
        <w:tc>
          <w:tcPr>
            <w:tcW w:type="dxa" w:w="3570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color w:val="000000"/>
              </w:rPr>
              <w:t>1</w:t>
            </w:r>
          </w:p>
        </w:tc>
        <w:tc>
          <w:tcPr>
            <w:tcW w:type="dxa" w:w="3570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color w:val="000000"/>
              </w:rPr>
              <w:t>2</w:t>
            </w:r>
          </w:p>
        </w:tc>
        <w:tc>
          <w:tcPr>
            <w:tcW w:type="dxa" w:w="3570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color w:val="000000"/>
              </w:rPr>
              <w:t>3</w:t>
            </w:r>
          </w:p>
        </w:tc>
      </w:tr>
      <w:tr>
        <w:tc>
          <w:tcPr>
            <w:tcW w:type="dxa" w:w="3570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color w:val="000000"/>
              </w:rPr>
              <w:t>172</w:t>
            </w:r>
          </w:p>
        </w:tc>
        <w:tc>
          <w:tcPr>
            <w:tcW w:type="dxa" w:w="3570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color w:val="000000"/>
              </w:rPr>
              <w:t>10 315,16</w:t>
            </w:r>
          </w:p>
        </w:tc>
        <w:tc>
          <w:tcPr>
            <w:tcW w:type="dxa" w:w="3570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color w:val="000000"/>
              </w:rPr>
              <w:t>Возврат из личного пользования материальных запасов</w:t>
            </w:r>
          </w:p>
        </w:tc>
      </w:tr>
    </w:tbl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right="0" w:left="-566"/>
        <w:jc w:val="center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Форма 0503125 «Справка по консолидируемым расчетам»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right="0" w:left="0" w:firstLine="860"/>
        <w:jc w:val="both"/>
      </w:pPr>
      <w:r>
        <w:rPr/>
      </w:r>
      <w:r>
        <w:rPr>
          <w:u w:val="none"/>
          <w:sz w:val="32"/>
          <w:rFonts w:ascii="Times New Roman" w:hAnsi="Times New Roman" w:cs="Times New Roman" w:eastAsia="Times New Roman"/>
        </w:rPr>
        <w:rPr>
          <w:shd w:fill="FFFFFF"/>
        </w:rPr>
      </w:r>
      <w:r>
        <w:rPr>
          <w:sz w:val="32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rPr>
          <w:shd w:fill="FFFFFF"/>
        </w:rPr>
        <w:t>В отчетном периоде осуществлялась внутрибюджетная передача объектов нефинансовых активов по счету 401 10 195 на сумму 16 514 714,29 руб. с амортизацией 4 230 112,23 руб.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  <w:r>
        <w:rPr>
          <w:u w:val="none"/>
          <w:sz w:val="32"/>
          <w:rFonts w:ascii="Times New Roman" w:hAnsi="Times New Roman" w:cs="Times New Roman" w:eastAsia="Times New Roman"/>
        </w:rPr>
        <w:t>№ </w:t>
      </w:r>
      <w:r>
        <w:rPr>
          <w:u w:val="none"/>
          <w:sz w:val="32"/>
          <w:rFonts w:ascii="Times New Roman" w:hAnsi="Times New Roman" w:cs="Times New Roman" w:eastAsia="Times New Roman"/>
        </w:rPr>
        <w:t>п/п</w:t>
      </w:r>
      <w:r>
        <w:rPr>
          <w:u w:val="none"/>
          <w:sz w:val="32"/>
          <w:rFonts w:ascii="Times New Roman" w:hAnsi="Times New Roman" w:cs="Times New Roman" w:eastAsia="Times New Roman"/>
        </w:rPr>
        <w:t>Наименование передающего контрагента</w:t>
      </w:r>
      <w:r>
        <w:rPr>
          <w:u w:val="none"/>
          <w:sz w:val="38"/>
          <w:rFonts w:ascii="Times New Roman" w:hAnsi="Times New Roman" w:cs="Times New Roman" w:eastAsia="Times New Roman"/>
        </w:rPr>
        <w:t/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38"/>
          <w:rFonts w:ascii="Times New Roman" w:hAnsi="Times New Roman" w:cs="Times New Roman" w:eastAsia="Times New Roman"/>
        </w:rPr>
        <w:t/>
      </w:r>
      <w:r>
        <w:rPr>
          <w:u w:val="none"/>
          <w:sz w:val="32"/>
          <w:rFonts w:ascii="Times New Roman" w:hAnsi="Times New Roman" w:cs="Times New Roman" w:eastAsia="Times New Roman"/>
        </w:rPr>
        <w:t>Распоряжение ДИиЖО</w:t>
      </w:r>
      <w:r>
        <w:rPr>
          <w:u w:val="none"/>
          <w:sz w:val="32"/>
          <w:rFonts w:ascii="Times New Roman" w:hAnsi="Times New Roman" w:cs="Times New Roman" w:eastAsia="Times New Roman"/>
        </w:rPr>
        <w:t>Описание полученного     имущества</w:t>
      </w:r>
      <w:r>
        <w:rPr>
          <w:u w:val="none"/>
          <w:sz w:val="32"/>
          <w:rFonts w:ascii="Times New Roman" w:hAnsi="Times New Roman" w:cs="Times New Roman" w:eastAsia="Times New Roman"/>
        </w:rPr>
        <w:t>Стоимость, руб.</w:t>
      </w:r>
      <w:r>
        <w:rPr>
          <w:u w:val="none"/>
          <w:sz w:val="32"/>
          <w:rFonts w:ascii="Times New Roman" w:hAnsi="Times New Roman" w:cs="Times New Roman" w:eastAsia="Times New Roman"/>
        </w:rPr>
        <w:t> Сумма амортизации, руб.</w:t>
      </w:r>
      <w:r>
        <w:rPr>
          <w:u w:val="none"/>
          <w:sz w:val="32"/>
          <w:rFonts w:ascii="Times New Roman" w:hAnsi="Times New Roman" w:cs="Times New Roman" w:eastAsia="Times New Roman"/>
        </w:rPr>
        <w:t>1</w:t>
      </w:r>
      <w:r>
        <w:rPr>
          <w:u w:val="none"/>
          <w:sz w:val="38"/>
          <w:rFonts w:ascii="Times New Roman" w:hAnsi="Times New Roman" w:cs="Times New Roman" w:eastAsia="Times New Roman"/>
        </w:rPr>
        <w:t/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38"/>
          <w:rFonts w:ascii="Times New Roman" w:hAnsi="Times New Roman" w:cs="Times New Roman" w:eastAsia="Times New Roman"/>
        </w:rPr>
        <w:t/>
      </w:r>
      <w:r>
        <w:rPr>
          <w:u w:val="none"/>
          <w:sz w:val="38"/>
          <w:rFonts w:ascii="Times New Roman" w:hAnsi="Times New Roman" w:cs="Times New Roman" w:eastAsia="Times New Roman"/>
        </w:rPr>
        <w:t/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38"/>
          <w:rFonts w:ascii="Times New Roman" w:hAnsi="Times New Roman" w:cs="Times New Roman" w:eastAsia="Times New Roman"/>
        </w:rPr>
        <w:t/>
      </w:r>
      <w:r>
        <w:rPr>
          <w:u w:val="none"/>
          <w:sz w:val="38"/>
          <w:rFonts w:ascii="Times New Roman" w:hAnsi="Times New Roman" w:cs="Times New Roman" w:eastAsia="Times New Roman"/>
        </w:rPr>
        <w:t>Администрация города Оренбурга</w:t>
      </w:r>
      <w:r>
        <w:rPr>
          <w:u w:val="none"/>
          <w:sz w:val="38"/>
          <w:rFonts w:ascii="Times New Roman" w:hAnsi="Times New Roman" w:cs="Times New Roman" w:eastAsia="Times New Roman"/>
        </w:rPr>
        <w:rPr>
          <w:shd w:fill="FFFFFF"/>
        </w:rPr>
        <w:t/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38"/>
          <w:rFonts w:ascii="Times New Roman" w:hAnsi="Times New Roman" w:cs="Times New Roman" w:eastAsia="Times New Roman"/>
        </w:rPr>
        <w:rPr>
          <w:shd w:fill="FFFFFF"/>
        </w:rPr>
        <w:t/>
      </w:r>
      <w:r>
        <w:rPr>
          <w:u w:val="none"/>
          <w:sz w:val="38"/>
          <w:rFonts w:ascii="Times New Roman" w:hAnsi="Times New Roman" w:cs="Times New Roman" w:eastAsia="Times New Roman"/>
        </w:rPr>
        <w:rPr>
          <w:shd w:fill="FFFFFF"/>
        </w:rPr>
        <w:t/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38"/>
          <w:rFonts w:ascii="Times New Roman" w:hAnsi="Times New Roman" w:cs="Times New Roman" w:eastAsia="Times New Roman"/>
        </w:rPr>
        <w:rPr>
          <w:shd w:fill="FFFFFF"/>
        </w:rPr>
        <w:t/>
      </w:r>
      <w:r>
        <w:rPr>
          <w:u w:val="none"/>
          <w:sz w:val="38"/>
          <w:rFonts w:ascii="Times New Roman" w:hAnsi="Times New Roman" w:cs="Times New Roman" w:eastAsia="Times New Roman"/>
        </w:rPr>
        <w:rPr>
          <w:shd w:fill="FFFFFF"/>
        </w:rPr>
        <w:t/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38"/>
          <w:rFonts w:ascii="Times New Roman" w:hAnsi="Times New Roman" w:cs="Times New Roman" w:eastAsia="Times New Roman"/>
        </w:rPr>
        <w:rPr>
          <w:shd w:fill="FFFFFF"/>
        </w:rPr>
        <w:t/>
      </w:r>
      <w:r>
        <w:rPr>
          <w:u w:val="none"/>
          <w:sz w:val="32"/>
          <w:rFonts w:ascii="Times New Roman" w:hAnsi="Times New Roman" w:cs="Times New Roman" w:eastAsia="Times New Roman"/>
        </w:rPr>
        <w:rPr>
          <w:shd w:fill="FFFFFF"/>
        </w:rPr>
        <w:t>№ 832 от 19.11.2025</w:t>
      </w:r>
      <w:r>
        <w:rPr>
          <w:u w:val="none"/>
          <w:sz w:val="38"/>
          <w:rFonts w:ascii="Times New Roman" w:hAnsi="Times New Roman" w:cs="Times New Roman" w:eastAsia="Times New Roman"/>
        </w:rPr>
        <w:rPr>
          <w:shd w:fill="FFFFFF"/>
        </w:rPr>
        <w:t/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38"/>
          <w:rFonts w:ascii="Times New Roman" w:hAnsi="Times New Roman" w:cs="Times New Roman" w:eastAsia="Times New Roman"/>
        </w:rPr>
        <w:rPr>
          <w:shd w:fill="FFFFFF"/>
        </w:rPr>
        <w:t/>
      </w:r>
      <w:r>
        <w:rPr>
          <w:u w:val="none"/>
          <w:sz w:val="38"/>
          <w:rFonts w:ascii="Times New Roman" w:hAnsi="Times New Roman" w:cs="Times New Roman" w:eastAsia="Times New Roman"/>
        </w:rPr>
        <w:rPr>
          <w:shd w:fill="FFFFFF"/>
        </w:rPr>
        <w:t/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38"/>
          <w:rFonts w:ascii="Times New Roman" w:hAnsi="Times New Roman" w:cs="Times New Roman" w:eastAsia="Times New Roman"/>
        </w:rPr>
        <w:rPr>
          <w:shd w:fill="FFFFFF"/>
        </w:rPr>
        <w:t/>
      </w:r>
      <w:r>
        <w:rPr>
          <w:u w:val="none"/>
          <w:sz w:val="32"/>
          <w:rFonts w:ascii="Times New Roman" w:hAnsi="Times New Roman" w:cs="Times New Roman" w:eastAsia="Times New Roman"/>
        </w:rPr>
        <w:rPr>
          <w:shd w:fill="FFFFFF"/>
        </w:rPr>
        <w:t>Медиа-система</w:t>
      </w:r>
      <w:r>
        <w:rPr>
          <w:u w:val="none"/>
          <w:sz w:val="32"/>
          <w:rFonts w:ascii="Times New Roman" w:hAnsi="Times New Roman" w:cs="Times New Roman" w:eastAsia="Times New Roman"/>
        </w:rPr>
        <w:rPr>
          <w:shd w:fill="FFFFFF"/>
        </w:rPr>
        <w:t>12 892 000,00</w:t>
      </w:r>
      <w:r>
        <w:rPr>
          <w:u w:val="none"/>
          <w:sz w:val="32"/>
          <w:rFonts w:ascii="Times New Roman" w:hAnsi="Times New Roman" w:cs="Times New Roman" w:eastAsia="Times New Roman"/>
        </w:rPr>
        <w:rPr>
          <w:shd w:fill="FFFFFF"/>
        </w:rPr>
        <w:t>4 143 857,13</w:t>
      </w:r>
      <w:r>
        <w:rPr>
          <w:u w:val="none"/>
          <w:sz w:val="32"/>
          <w:rFonts w:ascii="Times New Roman" w:hAnsi="Times New Roman" w:cs="Times New Roman" w:eastAsia="Times New Roman"/>
        </w:rPr>
        <w:rPr>
          <w:shd w:fill="FFFFFF"/>
        </w:rPr>
        <w:t>Конференц-система обеспечения проведения заседаний работы по монтажу и пусконала</w:t>
      </w:r>
      <w:r>
        <w:rPr>
          <w:u w:val="none"/>
          <w:sz w:val="32"/>
          <w:rFonts w:ascii="Times New Roman" w:hAnsi="Times New Roman" w:cs="Times New Roman" w:eastAsia="Times New Roman"/>
        </w:rPr>
        <w:rPr>
          <w:shd w:fill="FFFFFF"/>
        </w:rPr>
        <w:t>3 622 714,29</w:t>
      </w:r>
      <w:r>
        <w:rPr>
          <w:u w:val="none"/>
          <w:sz w:val="32"/>
          <w:rFonts w:ascii="Times New Roman" w:hAnsi="Times New Roman" w:cs="Times New Roman" w:eastAsia="Times New Roman"/>
        </w:rPr>
        <w:rPr>
          <w:shd w:fill="FFFFFF"/>
        </w:rPr>
        <w:t>86 255,10</w:t>
      </w:r>
      <w:r>
        <w:rPr>
          <w:u w:val="none"/>
          <w:sz w:val="38"/>
          <w:rFonts w:ascii="Times New Roman" w:hAnsi="Times New Roman" w:cs="Times New Roman" w:eastAsia="Times New Roman"/>
        </w:rPr>
        <w:t/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38"/>
          <w:rFonts w:ascii="Times New Roman" w:hAnsi="Times New Roman" w:cs="Times New Roman" w:eastAsia="Times New Roman"/>
        </w:rPr>
        <w:t/>
      </w:r>
      <w:r>
        <w:rPr>
          <w:u w:val="none"/>
          <w:sz w:val="32"/>
          <w:rFonts w:ascii="Times New Roman" w:hAnsi="Times New Roman" w:cs="Times New Roman" w:eastAsia="Times New Roman"/>
          <w:color w:val="000000"/>
          <w:b w:val="on"/>
        </w:rPr>
        <w:rPr>
          <w:shd w:fill="FFFFFF"/>
        </w:rPr>
        <w:t>Итого:</w:t>
      </w:r>
      <w:r>
        <w:rPr>
          <w:u w:val="none"/>
          <w:sz w:val="38"/>
          <w:rFonts w:ascii="Times New Roman" w:hAnsi="Times New Roman" w:cs="Times New Roman" w:eastAsia="Times New Roman"/>
        </w:rPr>
        <w:rPr>
          <w:shd w:fill="FFFFFF"/>
        </w:rPr>
        <w:t/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38"/>
          <w:rFonts w:ascii="Times New Roman" w:hAnsi="Times New Roman" w:cs="Times New Roman" w:eastAsia="Times New Roman"/>
        </w:rPr>
        <w:rPr>
          <w:shd w:fill="FFFFFF"/>
        </w:rPr>
        <w:t/>
      </w:r>
      <w:r>
        <w:rPr>
          <w:u w:val="none"/>
          <w:sz w:val="38"/>
          <w:rFonts w:ascii="Times New Roman" w:hAnsi="Times New Roman" w:cs="Times New Roman" w:eastAsia="Times New Roman"/>
        </w:rPr>
        <w:rPr>
          <w:shd w:fill="FFFFFF"/>
        </w:rPr>
        <w:t/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38"/>
          <w:rFonts w:ascii="Times New Roman" w:hAnsi="Times New Roman" w:cs="Times New Roman" w:eastAsia="Times New Roman"/>
        </w:rPr>
        <w:rPr>
          <w:shd w:fill="FFFFFF"/>
        </w:rPr>
        <w:t/>
      </w:r>
      <w:r>
        <w:rPr>
          <w:u w:val="none"/>
          <w:sz w:val="32"/>
          <w:rFonts w:ascii="Times New Roman" w:hAnsi="Times New Roman" w:cs="Times New Roman" w:eastAsia="Times New Roman"/>
        </w:rPr>
        <w:rPr>
          <w:shd w:fill="FFFFFF"/>
        </w:rPr>
        <w:t>16 514 714,29</w:t>
      </w:r>
      <w:r>
        <w:rPr>
          <w:u w:val="none"/>
          <w:sz w:val="32"/>
          <w:rFonts w:ascii="Times New Roman" w:hAnsi="Times New Roman" w:cs="Times New Roman" w:eastAsia="Times New Roman"/>
        </w:rPr>
        <w:rPr>
          <w:shd w:fill="FFFFFF"/>
        </w:rPr>
        <w:t>4 230 112,23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firstLine="720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Расшифровка отраженных показателей в </w:t>
      </w:r>
      <w:r>
        <w:rPr>
          <w:sz w:val="38"/>
          <w:rFonts w:ascii="Times New Roman" w:hAnsi="Times New Roman" w:cs="Times New Roman" w:eastAsia="Times New Roman"/>
          <w:u w:val="none"/>
          <w:strike w:val="off"/>
        </w:rPr>
        <w:t>форме 0503128</w:t>
      </w:r>
      <w:r>
        <w:rPr>
          <w:sz w:val="38"/>
          <w:rFonts w:ascii="Times New Roman" w:hAnsi="Times New Roman" w:cs="Times New Roman" w:eastAsia="Times New Roman"/>
          <w:u w:val="none"/>
        </w:rPr>
        <w:t xml:space="preserve"> по строке 860 по отложенным обязательствам 0 502 99 000, всего  на сумму 501239,50 руб., в том числе: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по КОСГУ 211 «Резерв предстоящих расходов на заработную плату» 384976,58 руб., количество неиспользованных календарных дней отпуска 145,74;</w:t>
      </w:r>
    </w:p>
    <w:p>
      <w:pPr>
        <w:spacing w:before="0" w:after="0"/>
        <w:ind w:firstLine="720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по КОСГУ 213 «Резерв предстоящих расходов на начисления на выплаты по оплате труда» 116262,92 руб. 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 xml:space="preserve">         Форма 0503130 </w:t>
      </w:r>
      <w:r>
        <w:rPr>
          <w:sz w:val="38"/>
          <w:rFonts w:ascii="Times New Roman" w:hAnsi="Times New Roman" w:cs="Times New Roman" w:eastAsia="Times New Roman"/>
          <w:u w:val="none"/>
          <w:color w:val="000000"/>
        </w:rPr>
        <w:t>«Баланс ГРБС». Приказом от 12.08.2025 № 21-п по Управлению назначена внеплановая инвентаризация счета 04 «Сомнительная задолженность». По результатам инвентаризации принято решение о списании задолженности с забалансового учета по причине </w:t>
      </w:r>
      <w:r>
        <w:rPr>
          <w:sz w:val="38"/>
          <w:rFonts w:ascii="Times New Roman" w:hAnsi="Times New Roman" w:cs="Times New Roman" w:eastAsia="Times New Roman"/>
          <w:u w:val="none"/>
        </w:rPr>
        <w:t>истечение срока исковой давности и отсутствия в учете у ИФНС данной задолженности.</w:t>
      </w:r>
    </w:p>
    <w:p>
      <w:pPr>
        <w:spacing w:before="0" w:after="0"/>
        <w:jc w:val="center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Анализ показателей сомнительной задолженности </w:t>
      </w:r>
    </w:p>
    <w:p>
      <w:pPr>
        <w:spacing w:before="0" w:after="0"/>
        <w:jc w:val="center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(забалансовый счет 04  форма 0503130)  на 01.01.2026 </w:t>
      </w:r>
    </w:p>
    <w:tbl>
      <w:tblPr>
        <w:tblW w:w="10711" w:type="dxa"/>
        <w:tblBorders>
          <w:top w:val="single" w:sz="8"/>
          <w:left w:val="single" w:sz="8"/>
          <w:bottom w:val="single" w:sz="8"/>
          <w:right w:val="single" w:sz="8"/>
          <w:insideH w:val="single" w:sz="8"/>
          <w:insideV w:val="single" w:sz="8"/>
        </w:tblBorders>
        <w:tblLayout w:type="fixed"/>
      </w:tblPr>
      <w:tblGrid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>
        <w:trPr>
          <w:tblHeader/>
        </w:trPr>
        <w:tc>
          <w:tcPr>
            <w:tcW w:type="dxa" w:w="3213"/>
            <w:gridSpan w:val="3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Сумма показателя сомнительной задолженности</w:t>
            </w:r>
          </w:p>
        </w:tc>
        <w:tc>
          <w:tcPr>
            <w:tcW w:type="dxa" w:w="6426"/>
            <w:gridSpan w:val="6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Изменение показателя сомнительной задолженности</w:t>
            </w:r>
          </w:p>
        </w:tc>
        <w:tc>
          <w:tcPr>
            <w:tcW w:type="dxa" w:w="1071"/>
            <w:vMerge w:val="restart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2"/>
                <w:rFonts w:ascii="Times New Roman" w:hAnsi="Times New Roman" w:cs="Times New Roman" w:eastAsia="Times New Roman"/>
                <w:u w:val="none"/>
              </w:rPr>
              <w:t>Сумма показателя сомнительной задолженности на конец отчетного периода, руб </w:t>
            </w:r>
          </w:p>
        </w:tc>
      </w:tr>
      <w:tr>
        <w:tc>
          <w:tcPr>
            <w:tcW w:type="dxa" w:w="1071"/>
            <w:vMerge w:val="restart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на конец предыдущего отчетного периода, руб.</w:t>
            </w:r>
          </w:p>
        </w:tc>
        <w:tc>
          <w:tcPr>
            <w:tcW w:type="dxa" w:w="1071"/>
            <w:vMerge w:val="restart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на начало отчетного периода, руб.</w:t>
            </w:r>
          </w:p>
        </w:tc>
        <w:tc>
          <w:tcPr>
            <w:tcW w:type="dxa" w:w="1071"/>
            <w:vMerge w:val="restart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причина расхождения</w:t>
            </w:r>
          </w:p>
        </w:tc>
        <w:tc>
          <w:tcPr>
            <w:tcW w:type="dxa" w:w="1071"/>
            <w:vMerge w:val="restart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увеличение,</w:t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руб.</w:t>
            </w:r>
          </w:p>
        </w:tc>
        <w:tc>
          <w:tcPr>
            <w:tcW w:type="dxa" w:w="1071"/>
            <w:vMerge w:val="restart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уменьшение, руб.</w:t>
            </w:r>
          </w:p>
        </w:tc>
        <w:tc>
          <w:tcPr>
            <w:tcW w:type="dxa" w:w="4284"/>
            <w:gridSpan w:val="4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в том числе причина уменьшения</w:t>
            </w:r>
          </w:p>
        </w:tc>
        <w:tc>
          <w:tcPr>
            <w:tcW w:type="dxa" w:w="1071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</w:tr>
      <w:tr>
        <w:tc>
          <w:tcPr>
            <w:tcW w:type="dxa" w:w="1071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071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071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071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071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071"/>
            <w:vMerge w:val="restart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списание в соответствии со ст. 47,2 БК РФ, руб.</w:t>
            </w:r>
          </w:p>
        </w:tc>
        <w:tc>
          <w:tcPr>
            <w:tcW w:type="dxa" w:w="1071"/>
            <w:vMerge w:val="restart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восстановление на балансовый счет, руб.</w:t>
            </w:r>
          </w:p>
        </w:tc>
        <w:tc>
          <w:tcPr>
            <w:tcW w:type="dxa" w:w="2142"/>
            <w:gridSpan w:val="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иная причина   </w:t>
            </w:r>
          </w:p>
        </w:tc>
        <w:tc>
          <w:tcPr>
            <w:tcW w:type="dxa" w:w="1071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</w:tr>
      <w:tr>
        <w:tc>
          <w:tcPr>
            <w:tcW w:type="dxa" w:w="1071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071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071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071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071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071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071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Сумма, руб.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описание причины</w:t>
            </w:r>
          </w:p>
        </w:tc>
        <w:tc>
          <w:tcPr>
            <w:tcW w:type="dxa" w:w="1071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</w:tr>
      <w:tr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1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2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3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4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5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6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7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8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9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10</w:t>
            </w:r>
          </w:p>
        </w:tc>
      </w:tr>
      <w:tr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48 525,28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48 525,28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           0,00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  48 525,28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0,00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0,00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48 525,28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по результатам сверки с ИФНС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     0,00</w:t>
            </w:r>
          </w:p>
        </w:tc>
      </w:tr>
      <w:tr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Итого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48 525,28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0,00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48 525,28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0,00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0,00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48 525,28</w:t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071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           0,00</w:t>
            </w:r>
          </w:p>
        </w:tc>
      </w:tr>
    </w:tbl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firstLine="720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Форма 0503168 «Сведения о движении нефинансовых активов». В течение отчетного периода по управлению отражались изменения нефинансовых активов, находящихся в собственности муниципального образования «город Оренбург».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По состоянию на 01.01.2026 балансовая стоимость основных средств составила 137 037 698,32 руб., в том числе: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нежилые помещения (здания и сооружения) – 1 709 506,4 руб.,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машины и оборудование – 133 400 298,63 руб.,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инвентарь производственный и хозяйственный – 1 927 893,29 руб.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Поступление основных средств за отчетный период составило 17 647 552,04 руб., в том числе: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по счету 1 101 34   - 17 637 438,40 рублей, в том числе: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- безвозмездное поступление на сумму 16 514 714,29 рублей, это от Администрации города Оренбурга по распоряжению департамента имущественных и жилищных отношений администрации города Оренбурга от 19.11.2025 № 832 - медиа-система, конференц-система обеспечения проведения заседаний работы по монтажу и пуско-наладка;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-  приобретение на сумму 1 122 724,11  руб., в том числе:</w:t>
      </w:r>
    </w:p>
    <w:tbl>
      <w:tblPr>
        <w:tblW w:w="10711" w:type="dxa"/>
        <w:tblBorders>
          <w:top w:val="single" w:sz="8"/>
          <w:left w:val="single" w:sz="8"/>
          <w:bottom w:val="single" w:sz="8"/>
          <w:right w:val="single" w:sz="8"/>
          <w:insideH w:val="single" w:sz="8"/>
          <w:insideV w:val="single" w:sz="8"/>
        </w:tblBorders>
        <w:tblLayout w:type="fixed"/>
      </w:tblPr>
      <w:tblGrid>
        <w:gridCol w:w="5355"/>
        <w:gridCol w:w="5355"/>
      </w:tblGrid>
      <w:tr>
        <w:trPr>
          <w:tblHeader/>
        </w:trP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Наименование ОС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Сумма, руб.</w:t>
            </w:r>
          </w:p>
        </w:tc>
      </w:tr>
      <w:t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Коммутатор 1 Гб 8-10 портов TL-SG2210MP Tp-link (5 шт.)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                       104 495,00</w:t>
            </w:r>
          </w:p>
        </w:tc>
      </w:tr>
      <w:t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Коммутатор. Товарный знак: NTS-3524F (3 шт.)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734 976,89</w:t>
            </w:r>
          </w:p>
        </w:tc>
      </w:tr>
      <w:t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Трансивер (Модуль связи для работы в сети волоконно-оптической связи) тип 1 КТРУ (6 шт.)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11 564,21</w:t>
            </w:r>
          </w:p>
        </w:tc>
      </w:tr>
      <w:t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Трансивер (Модуль связи для работы в сети волоконно-оптической связи) тип 2 КТРУ (6 шт.)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11 567,93</w:t>
            </w:r>
          </w:p>
        </w:tc>
      </w:tr>
      <w:t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Трансивер (Модуль связи для работы в сети волоконно-оптической связи) тип 3 КТРУ (3 шт.)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5 150,93</w:t>
            </w:r>
          </w:p>
        </w:tc>
      </w:tr>
      <w:t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Трансивер (Модуль связи для работы в сети волоконно-оптической связи) тип 6 КТРУ (50 шт.)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40 868,08</w:t>
            </w:r>
          </w:p>
        </w:tc>
      </w:tr>
      <w:t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Трансивер (Модуль связи для работы в сети волоконно-оптической связи) тип 5 КТРУ (50 шт.)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22 950,14</w:t>
            </w:r>
          </w:p>
        </w:tc>
      </w:tr>
      <w:t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Системный блок КТРУ 26.20.15.000-00000028 (4 шт.)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164 027,19</w:t>
            </w:r>
          </w:p>
        </w:tc>
      </w:tr>
      <w:t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Монитор, подключаемый к компьютеру КТРУ 26.20.17.110-00000032 (3 шт.)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21 972,81</w:t>
            </w:r>
          </w:p>
        </w:tc>
      </w:tr>
      <w:t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Трансивер (Модуль связи для работы в сети волоконно-оптической связи) тип 4 КТРУ (3 шт.)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5 150,93</w:t>
            </w:r>
          </w:p>
        </w:tc>
      </w:tr>
      <w:t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  <w:b w:val="on"/>
              </w:rPr>
              <w:t>ИТОГО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  <w:b w:val="on"/>
              </w:rPr>
              <w:t>1 122 724,11</w:t>
            </w:r>
          </w:p>
        </w:tc>
      </w:tr>
    </w:tbl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 по счету 1 101 36 – 10 113,64 рублей - это приобретение: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tbl>
      <w:tblPr>
        <w:tblW w:w="10711" w:type="dxa"/>
        <w:tblBorders>
          <w:top w:val="single" w:sz="8"/>
          <w:left w:val="single" w:sz="8"/>
          <w:bottom w:val="single" w:sz="8"/>
          <w:right w:val="single" w:sz="8"/>
          <w:insideH w:val="single" w:sz="8"/>
          <w:insideV w:val="single" w:sz="8"/>
        </w:tblBorders>
        <w:tblLayout w:type="fixed"/>
      </w:tblPr>
      <w:tblGrid>
        <w:gridCol w:w="5355"/>
        <w:gridCol w:w="5355"/>
      </w:tblGrid>
      <w:tr>
        <w:trPr>
          <w:tblHeader/>
        </w:trP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Наименование ОС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Сумма, руб.</w:t>
            </w:r>
          </w:p>
        </w:tc>
      </w:tr>
      <w:t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Ключница КЛ-20П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4 153,94</w:t>
            </w:r>
          </w:p>
        </w:tc>
      </w:tr>
      <w:t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Печать под пластилин диаметр 25мм латунь (ручка-кольцо) с гравировкой (10 шт.)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5 959,70</w:t>
            </w:r>
          </w:p>
        </w:tc>
      </w:tr>
      <w:t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  <w:b w:val="on"/>
              </w:rPr>
              <w:t>ИТОГО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  <w:b w:val="on"/>
              </w:rPr>
              <w:t>10 113,64</w:t>
            </w:r>
          </w:p>
        </w:tc>
      </w:tr>
    </w:tbl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Выбытие основных средств за отчетный период составило 129 338,67 руб., в том числе: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по счету 1 101 34 – 119 225,03 руб., в том числе 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списано на счет 21 при вводе в эксплуатацию ОС на сумму 119 225,03 руб.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по счету 1 101 36 – 10 113,64</w:t>
      </w:r>
      <w:r>
        <w:rPr>
          <w:sz w:val="42"/>
          <w:rFonts w:ascii="Times New Roman" w:hAnsi="Times New Roman" w:cs="Times New Roman" w:eastAsia="Times New Roman"/>
          <w:u w:val="none"/>
        </w:rPr>
        <w:t> </w:t>
      </w:r>
      <w:r>
        <w:rPr>
          <w:sz w:val="38"/>
          <w:rFonts w:ascii="Times New Roman" w:hAnsi="Times New Roman" w:cs="Times New Roman" w:eastAsia="Times New Roman"/>
          <w:u w:val="none"/>
        </w:rPr>
        <w:t>руб., в том числе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списано на счет 21 при вводе в эксплуатацию ОС на сумму 10 113,64 руб.</w:t>
      </w:r>
    </w:p>
    <w:p>
      <w:pPr>
        <w:spacing w:before="0" w:after="0"/>
        <w:ind w:firstLine="53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  <w:color w:val="000000"/>
        </w:rPr>
        <w:t>По состоянию на 01.01.2026 года стоимость материальных запасов составила               </w:t>
      </w:r>
      <w:r>
        <w:rPr>
          <w:sz w:val="38"/>
          <w:rFonts w:ascii="Times New Roman" w:hAnsi="Times New Roman" w:cs="Times New Roman" w:eastAsia="Times New Roman"/>
          <w:u w:val="none"/>
        </w:rPr>
        <w:t xml:space="preserve">465 164,72 </w:t>
      </w:r>
      <w:r>
        <w:rPr>
          <w:sz w:val="38"/>
          <w:rFonts w:ascii="Times New Roman" w:hAnsi="Times New Roman" w:cs="Times New Roman" w:eastAsia="Times New Roman"/>
          <w:u w:val="none"/>
          <w:color w:val="000000"/>
        </w:rPr>
        <w:t>руб.</w:t>
      </w:r>
    </w:p>
    <w:p>
      <w:pPr>
        <w:spacing w:before="0" w:after="0"/>
        <w:ind w:firstLine="53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  <w:color w:val="000000"/>
        </w:rPr>
        <w:t>Поступило материальных запасов на сумму </w:t>
      </w:r>
      <w:r>
        <w:rPr>
          <w:sz w:val="38"/>
          <w:rFonts w:ascii="Times New Roman" w:hAnsi="Times New Roman" w:cs="Times New Roman" w:eastAsia="Times New Roman"/>
          <w:u w:val="none"/>
        </w:rPr>
        <w:t>465 164,72</w:t>
      </w:r>
      <w:r>
        <w:rPr>
          <w:sz w:val="38"/>
          <w:rFonts w:ascii="Times New Roman" w:hAnsi="Times New Roman" w:cs="Times New Roman" w:eastAsia="Times New Roman"/>
          <w:u w:val="none"/>
          <w:color w:val="000000"/>
        </w:rPr>
        <w:t>, в том числе:</w:t>
      </w:r>
    </w:p>
    <w:p>
      <w:pPr>
        <w:spacing w:before="0" w:after="0"/>
        <w:ind w:firstLine="53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  <w:color w:val="000000"/>
        </w:rPr>
        <w:t>- приобретено на 454 849,56 рублей (вода бутилированная – 22 200,00 руб., канцтовары – 52 031,20 руб.,</w:t>
      </w:r>
      <w:r>
        <w:rPr>
          <w:sz w:val="38"/>
          <w:rFonts w:ascii="Times New Roman" w:hAnsi="Times New Roman" w:cs="Times New Roman" w:eastAsia="Times New Roman"/>
          <w:u w:val="none"/>
        </w:rPr>
        <w:t xml:space="preserve"> </w:t>
      </w:r>
      <w:r>
        <w:rPr>
          <w:sz w:val="38"/>
          <w:rFonts w:ascii="Times New Roman" w:hAnsi="Times New Roman" w:cs="Times New Roman" w:eastAsia="Times New Roman"/>
          <w:u w:val="none"/>
          <w:color w:val="000000"/>
        </w:rPr>
        <w:t>опечатывающее устройство флажок (Латунь) 12 шт. – 3 486,36 руб., комплектующие,</w:t>
      </w:r>
      <w:r>
        <w:rPr>
          <w:sz w:val="38"/>
          <w:rFonts w:ascii="Times New Roman" w:hAnsi="Times New Roman" w:cs="Times New Roman" w:eastAsia="Times New Roman"/>
          <w:u w:val="none"/>
        </w:rPr>
        <w:t xml:space="preserve"> </w:t>
      </w:r>
      <w:r>
        <w:rPr>
          <w:sz w:val="38"/>
          <w:rFonts w:ascii="Times New Roman" w:hAnsi="Times New Roman" w:cs="Times New Roman" w:eastAsia="Times New Roman"/>
          <w:u w:val="none"/>
          <w:color w:val="000000"/>
        </w:rPr>
        <w:t>расходный материал, запасные части к   инф. системе – 125 300,00 руб., камера видеонаблюдения (4 шт.)  – 251 832,00 руб.)</w:t>
      </w:r>
    </w:p>
    <w:p>
      <w:pPr>
        <w:spacing w:before="0" w:after="0"/>
        <w:ind w:firstLine="53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  <w:color w:val="000000"/>
        </w:rPr>
        <w:t>- возврат из личного пользования на 10 315,16 руб.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firstLine="53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  <w:color w:val="000000"/>
        </w:rPr>
        <w:t>Выбыло материальных запасов за отчетный период на сумму 20 520,00 руб., в том числе списано:</w:t>
      </w:r>
    </w:p>
    <w:p>
      <w:pPr>
        <w:spacing w:before="0" w:after="0"/>
        <w:ind w:firstLine="53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  <w:color w:val="000000"/>
        </w:rPr>
        <w:t>- вода бутилированная – 20 520,00 руб.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firstLine="53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  <w:color w:val="000000"/>
        </w:rPr>
        <w:t>По состоянию на 01.01.2026 года стоимость прав пользования программным обеспечением и базами данных составила </w:t>
      </w:r>
      <w:r>
        <w:rPr>
          <w:sz w:val="38"/>
          <w:rFonts w:ascii="Times New Roman" w:hAnsi="Times New Roman" w:cs="Times New Roman" w:eastAsia="Times New Roman"/>
          <w:u w:val="none"/>
        </w:rPr>
        <w:t xml:space="preserve">21 246 051,52 </w:t>
      </w:r>
      <w:r>
        <w:rPr>
          <w:sz w:val="38"/>
          <w:rFonts w:ascii="Times New Roman" w:hAnsi="Times New Roman" w:cs="Times New Roman" w:eastAsia="Times New Roman"/>
          <w:u w:val="none"/>
          <w:color w:val="000000"/>
        </w:rPr>
        <w:t>руб.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firstLine="53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  <w:color w:val="000000"/>
        </w:rPr>
        <w:t>Поступило прав пользования программным обеспечением на сумму 1 715 599,07 руб. 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tbl>
      <w:tblPr>
        <w:tblW w:w="10711" w:type="dxa"/>
        <w:tblBorders>
          <w:top w:val="single" w:sz="8"/>
          <w:left w:val="single" w:sz="8"/>
          <w:bottom w:val="single" w:sz="8"/>
          <w:right w:val="single" w:sz="8"/>
          <w:insideH w:val="single" w:sz="8"/>
          <w:insideV w:val="single" w:sz="8"/>
        </w:tblBorders>
        <w:tblLayout w:type="fixed"/>
      </w:tblPr>
      <w:tblGrid>
        <w:gridCol w:w="5355"/>
        <w:gridCol w:w="5355"/>
      </w:tblGrid>
      <w:tr>
        <w:trPr>
          <w:tblHeader/>
        </w:trP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>Наименование программного продукта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>Сумма</w:t>
            </w:r>
          </w:p>
        </w:tc>
      </w:tr>
      <w:t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>Лицензия Kaspersky Endpoint Security для бизнеса - Расширенный Rus Edition 250-4 (30 шт.)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>106 326,00</w:t>
            </w:r>
          </w:p>
        </w:tc>
      </w:tr>
      <w:t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>Лицензия Kaspersky Endpoint Security для бизнеса - Расширенный Rus Edition 250-4 (23 шт.)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>81 516,60</w:t>
            </w:r>
          </w:p>
        </w:tc>
      </w:tr>
      <w:t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>Программа для ЭВМ "Инсайдер"-система мониторинга,контроля и комплексной оценки 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>137 000,00</w:t>
            </w:r>
          </w:p>
        </w:tc>
      </w:tr>
      <w:t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>Комплект программного обеспечения SecurOS-Enterprise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>622 493,25</w:t>
            </w:r>
          </w:p>
        </w:tc>
      </w:tr>
      <w:t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>Комплект программного обеспечения SecurOS-MCC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>567 806,75</w:t>
            </w:r>
          </w:p>
        </w:tc>
      </w:tr>
      <w:t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>Лицензия на право использования программ для ЭВМ СКЗИ "Континент-АП" (10 шт.)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>50 988,70</w:t>
            </w:r>
          </w:p>
        </w:tc>
      </w:tr>
      <w:t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>Лицензия на операционную систему специального назначения «Astra Linux Special Ed (3 шт.)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>149 467,77</w:t>
            </w:r>
          </w:p>
        </w:tc>
      </w:tr>
      <w:tr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b w:val="on"/>
              </w:rPr>
              <w:t>ИТОГО</w:t>
            </w:r>
          </w:p>
        </w:tc>
        <w:tc>
          <w:tcPr>
            <w:tcW w:type="dxa" w:w="5355"/>
          </w:tcPr>
          <w:p>
            <w:pPr>
              <w:spacing w:before="0" w:after="0" w:lineRule="auto" w:line="240"/>
              <w:ind w:right="0" w:left="0" w:firstLine="0"/>
              <w:jc w:val="righ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b w:val="on"/>
              </w:rPr>
              <w:t>1 715 599</w:t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b w:val="on"/>
              </w:rPr>
              <w:t>,0</w:t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b w:val="on"/>
              </w:rPr>
              <w:t>7</w:t>
            </w:r>
          </w:p>
        </w:tc>
      </w:tr>
    </w:tbl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firstLine="566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Движение по забалансовым счетам:</w:t>
      </w:r>
    </w:p>
    <w:p>
      <w:pPr>
        <w:spacing w:before="0" w:after="0"/>
        <w:ind w:firstLine="53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01 «Имущество, полученное в пользование, всего» - по состоянию на 01.01.2026 составила 2,00 руб. движений по счету не было;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firstLine="566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02 «Материальные ценности на хранении, всего» – по состоянию на 01.01.2026 стоимость составила 3 193,00 руб. движений по счету не было;</w:t>
      </w:r>
    </w:p>
    <w:p>
      <w:pPr>
        <w:spacing w:before="0" w:after="0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        21 «Основные средства в эксплуатации» - по состоянию на 01.01.2026 года стоимость основных средств составила 1 110 526,38 руб. увеличение 129 338,67 руб. списание ОС стоимостью менее 10000,00 руб. при вводе в эксплуатацию.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firstLine="720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Форма 0503169 «Сведения по дебиторской и кредиторской задолженности».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Анализ дебиторской задолженности по состоянию на отчетную дату в сравнении с данными за аналогичный период прошлого финансового года   на 01.01.2026</w:t>
      </w:r>
    </w:p>
    <w:tbl>
      <w:tblPr>
        <w:tblW w:w="10711" w:type="dxa"/>
        <w:tblBorders>
          <w:top w:val="single" w:sz="8"/>
          <w:left w:val="single" w:sz="8"/>
          <w:bottom w:val="single" w:sz="8"/>
          <w:right w:val="single" w:sz="8"/>
          <w:insideH w:val="single" w:sz="8"/>
          <w:insideV w:val="single" w:sz="8"/>
        </w:tblBorders>
        <w:tblLayout w:type="fixed"/>
      </w:tblPr>
      <w:tblGrid>
        <w:gridCol w:w="2142"/>
        <w:gridCol w:w="2142"/>
        <w:gridCol w:w="2142"/>
        <w:gridCol w:w="2142"/>
        <w:gridCol w:w="2142"/>
      </w:tblGrid>
      <w:tr>
        <w:trPr>
          <w:tblHeader/>
        </w:trPr>
        <w:tc>
          <w:tcPr>
            <w:tcW w:type="dxa" w:w="2142"/>
            <w:vMerge w:val="restart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 xml:space="preserve">Код счета бюджетного учета гр. 1.2, 1.3. форм </w:t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b w:val="on"/>
              </w:rPr>
              <w:t>0503169</w:t>
            </w:r>
          </w:p>
        </w:tc>
        <w:tc>
          <w:tcPr>
            <w:tcW w:type="dxa" w:w="4284"/>
            <w:gridSpan w:val="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Сумма задолженности, руб.</w:t>
            </w:r>
          </w:p>
        </w:tc>
        <w:tc>
          <w:tcPr>
            <w:tcW w:type="dxa" w:w="2142"/>
            <w:vMerge w:val="restart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Расшифровка дебиторской задолженности (что учтено по счету)</w:t>
            </w:r>
          </w:p>
        </w:tc>
        <w:tc>
          <w:tcPr>
            <w:tcW w:type="dxa" w:w="2142"/>
            <w:vMerge w:val="restart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>Причина увеличения задолженности на отчетную дату в сравнении с данными за аналогичный отчетный период прошлого финансового года (гр.3-гр.2)</w:t>
            </w:r>
          </w:p>
        </w:tc>
      </w:tr>
      <w:tr>
        <w:tc>
          <w:tcPr>
            <w:tcW w:type="dxa" w:w="2142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Данные за аналогичный отчетный период прошлого финансового года (на 01.01.2025)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Данные за отчетный период (на 01.01.2026)</w:t>
            </w:r>
          </w:p>
        </w:tc>
        <w:tc>
          <w:tcPr>
            <w:tcW w:type="dxa" w:w="2142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2142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</w:tr>
      <w:tr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1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2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3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4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5</w:t>
            </w:r>
          </w:p>
        </w:tc>
      </w:tr>
      <w:tr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color w:val="000000"/>
              </w:rPr>
              <w:rPr>
                <w:shd w:fill="FFFFFF"/>
              </w:rPr>
              <w:t>1 206 21 000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0,00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70 800,00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За абонентскую плату за услуги связи (аванс) 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отсутствие случаев в аналогичном периоде</w:t>
            </w:r>
          </w:p>
        </w:tc>
      </w:tr>
      <w:tr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color w:val="000000"/>
              </w:rPr>
              <w:rPr>
                <w:shd w:fill="FFFFFF"/>
              </w:rPr>
              <w:t>1 206 26 000 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36 500,00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0,00 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Передача исключения прав использования системы гос.закупок; Оказание платных образовательных услуг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</w:tc>
      </w:tr>
      <w:tr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b w:val="on"/>
              </w:rPr>
              <w:rPr>
                <w:shd w:fill="FFFFFF"/>
              </w:rPr>
              <w:t>Итого по счету 1 206000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b w:val="on"/>
              </w:rPr>
              <w:t>36 500,00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b w:val="on"/>
              </w:rPr>
              <w:t>70 800,00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</w:tc>
      </w:tr>
      <w:tr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b w:val="on"/>
              </w:rPr>
              <w:rPr>
                <w:shd w:fill="FFFFFF"/>
              </w:rPr>
              <w:t>Всего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b w:val="on"/>
              </w:rPr>
              <w:rPr>
                <w:shd w:fill="FFFFFF"/>
              </w:rPr>
              <w:t>36 500,00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b w:val="on"/>
              </w:rPr>
              <w:t>70 800,00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</w:tc>
      </w:tr>
    </w:tbl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Анализ кредиторской задолженности по состоянию на отчетную дату в сравнении с данными за аналогичный период прошлого финансового года (к форме 0503169)   на 01.01.2026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tbl>
      <w:tblPr>
        <w:tblW w:w="10711" w:type="dxa"/>
        <w:tblBorders>
          <w:top w:val="single" w:sz="8"/>
          <w:left w:val="single" w:sz="8"/>
          <w:bottom w:val="single" w:sz="8"/>
          <w:right w:val="single" w:sz="8"/>
          <w:insideH w:val="single" w:sz="8"/>
          <w:insideV w:val="single" w:sz="8"/>
        </w:tblBorders>
        <w:tblLayout w:type="fixed"/>
      </w:tblPr>
      <w:tblGrid>
        <w:gridCol w:w="2142"/>
        <w:gridCol w:w="2142"/>
        <w:gridCol w:w="2142"/>
        <w:gridCol w:w="2142"/>
        <w:gridCol w:w="2142"/>
      </w:tblGrid>
      <w:tr>
        <w:trPr>
          <w:tblHeader/>
        </w:trPr>
        <w:tc>
          <w:tcPr>
            <w:tcW w:type="dxa" w:w="2142"/>
            <w:vMerge w:val="restart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 xml:space="preserve">Код счета бюджетного учета гр. 1.2, 1.3. форм </w:t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b w:val="on"/>
              </w:rPr>
              <w:rPr>
                <w:shd w:fill="FFFFFF"/>
              </w:rPr>
              <w:t>0503169</w:t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>, 0503769</w:t>
            </w:r>
          </w:p>
        </w:tc>
        <w:tc>
          <w:tcPr>
            <w:tcW w:type="dxa" w:w="4284"/>
            <w:gridSpan w:val="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>Сумма задолженности, руб</w:t>
            </w:r>
          </w:p>
        </w:tc>
        <w:tc>
          <w:tcPr>
            <w:tcW w:type="dxa" w:w="2142"/>
            <w:vMerge w:val="restart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>Расшифровка кредиторской задолженности (что учтено по счету)</w:t>
            </w:r>
          </w:p>
        </w:tc>
        <w:tc>
          <w:tcPr>
            <w:tcW w:type="dxa" w:w="2142"/>
            <w:vMerge w:val="restart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>Причина увеличения задолженности на отчетную дату в сравнении с данными за аналогичный отчетный период прошлого финансового года (гр.3-гр.2)</w:t>
            </w:r>
          </w:p>
        </w:tc>
      </w:tr>
      <w:tr>
        <w:tc>
          <w:tcPr>
            <w:tcW w:type="dxa" w:w="2142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Данные за аналогичный отчетный период прошлого финансового года (на 01.01.2025)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Данные за отчетный период (на 01.01.2026)</w:t>
            </w:r>
          </w:p>
        </w:tc>
        <w:tc>
          <w:tcPr>
            <w:tcW w:type="dxa" w:w="2142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2142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</w:tr>
      <w:tr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>1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>2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>3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>4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>5</w:t>
            </w:r>
          </w:p>
        </w:tc>
      </w:tr>
      <w:tr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color w:val="000000"/>
              </w:rPr>
              <w:rPr>
                <w:shd w:fill="FFFFFF"/>
              </w:rPr>
              <w:t>1 30221 000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color w:val="000000"/>
              </w:rPr>
              <w:t>23 970,00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color w:val="000000"/>
              </w:rPr>
              <w:t>27 260,00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>за услуги связи 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>увеличение тарифа </w:t>
            </w:r>
          </w:p>
        </w:tc>
      </w:tr>
      <w:tr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color w:val="000000"/>
              </w:rPr>
              <w:rPr>
                <w:shd w:fill="FFFFFF"/>
              </w:rPr>
              <w:t>1 30223 000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color w:val="000000"/>
              </w:rPr>
              <w:t>2 337,14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color w:val="000000"/>
              </w:rPr>
              <w:t>3 130,54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>электрическая энергия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>увеличение тарифа </w:t>
            </w:r>
          </w:p>
        </w:tc>
      </w:tr>
      <w:tr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color w:val="000000"/>
              </w:rPr>
              <w:rPr>
                <w:shd w:fill="FFFFFF"/>
              </w:rPr>
              <w:t>1 30225 000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color w:val="000000"/>
              </w:rPr>
              <w:t>29 000,00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color w:val="000000"/>
              </w:rPr>
              <w:t>37 500,00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>услуги сопровождения узла коммутации телефонных вызовов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color w:val="000000"/>
              </w:rPr>
              <w:t>увеличение тарифа</w:t>
            </w:r>
          </w:p>
        </w:tc>
      </w:tr>
      <w:tr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color w:val="000000"/>
              </w:rPr>
              <w:rPr>
                <w:shd w:fill="FFFFFF"/>
              </w:rPr>
              <w:t>1 30226 000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color w:val="000000"/>
              </w:rPr>
              <w:rPr>
                <w:shd w:fill="FFFFFF"/>
              </w:rPr>
              <w:t>149 700,00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color w:val="000000"/>
              </w:rPr>
              <w:rPr>
                <w:shd w:fill="FFFFFF"/>
              </w:rPr>
              <w:t>389 566,37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>выполнение работ по техническому обслуживанию муниципальной информационной защищенной сети передачи данных; оказание услуг по предоставлению доступа к ПО"Активист"; услуги по технической поддержки эксплуатации программно-аппаратного комплекса городской информационно-справочной службы; за предоставление информационной структуры, сервис на площадке Заказчика без ПО; услуги по резервному копированию и восстановлению информации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>увеличение количества услуг</w:t>
            </w:r>
          </w:p>
        </w:tc>
      </w:tr>
      <w:tr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b w:val="on"/>
              </w:rPr>
              <w:rPr>
                <w:shd w:fill="FFFFFF"/>
              </w:rPr>
              <w:t>Итого по счету 1 302000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b w:val="on"/>
              </w:rPr>
              <w:rPr>
                <w:shd w:fill="FFFFFF"/>
              </w:rPr>
              <w:t>205 007,14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b w:val="on"/>
              </w:rPr>
              <w:rPr>
                <w:shd w:fill="FFFFFF"/>
              </w:rPr>
              <w:t>457 456,91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</w:tc>
      </w:tr>
      <w:tr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color w:val="000000"/>
              </w:rPr>
              <w:rPr>
                <w:shd w:fill="FFFFFF"/>
              </w:rPr>
              <w:t>1 30306 000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>4 612,57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>4 323,86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>текущая задолженность в СФР за декабрь (НС и ПЗ)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</w:tc>
      </w:tr>
      <w:tr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color w:val="000000"/>
              </w:rPr>
              <w:rPr>
                <w:shd w:fill="FFFFFF"/>
              </w:rPr>
              <w:t>1 30315 000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>691 884,99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>648 578,54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color w:val="000000"/>
              </w:rPr>
              <w:rPr>
                <w:shd w:fill="FFFFFF"/>
              </w:rPr>
              <w:t>текущая задолженность по страховым взносам в СФР за декабрь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</w:tc>
      </w:tr>
      <w:tr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b w:val="on"/>
              </w:rPr>
              <w:rPr>
                <w:shd w:fill="FFFFFF"/>
              </w:rPr>
              <w:t>Итого по счету 1 303000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b w:val="on"/>
              </w:rPr>
              <w:rPr>
                <w:shd w:fill="FFFFFF"/>
              </w:rPr>
              <w:t>691 884,99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b w:val="on"/>
              </w:rPr>
              <w:rPr>
                <w:shd w:fill="FFFFFF"/>
              </w:rPr>
              <w:t>648 578,54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</w:tc>
      </w:tr>
      <w:tr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b w:val="on"/>
              </w:rPr>
              <w:rPr>
                <w:shd w:fill="FFFFFF"/>
              </w:rPr>
              <w:t>Всего задолженности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b w:val="on"/>
              </w:rPr>
              <w:rPr>
                <w:shd w:fill="FFFFFF"/>
              </w:rPr>
              <w:t>691 884,99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b w:val="on"/>
              </w:rPr>
              <w:rPr>
                <w:shd w:fill="FFFFFF"/>
              </w:rPr>
              <w:t>648 578,54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</w:tc>
      </w:tr>
      <w:tr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color w:val="000000"/>
              </w:rPr>
              <w:rPr>
                <w:shd w:fill="FFFFFF"/>
              </w:rPr>
              <w:t>1 30403 000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>0,00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>18,16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color w:val="000000"/>
              </w:rPr>
              <w:rPr>
                <w:shd w:fill="FFFFFF"/>
              </w:rPr>
              <w:t>профвзносы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отсутствие случаев в аналогичном периоде</w:t>
            </w:r>
          </w:p>
        </w:tc>
      </w:tr>
      <w:tr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b w:val="on"/>
              </w:rPr>
              <w:rPr>
                <w:shd w:fill="FFFFFF"/>
              </w:rPr>
              <w:t>Итого по счету 1 304000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b w:val="on"/>
              </w:rPr>
              <w:rPr>
                <w:shd w:fill="FFFFFF"/>
              </w:rPr>
              <w:t>0,00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b w:val="on"/>
              </w:rPr>
              <w:rPr>
                <w:shd w:fill="FFFFFF"/>
              </w:rPr>
              <w:t>18,16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</w:tc>
      </w:tr>
      <w:tr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b w:val="on"/>
              </w:rPr>
              <w:rPr>
                <w:shd w:fill="FFFFFF"/>
              </w:rPr>
              <w:t>Всего задолженности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b w:val="on"/>
              </w:rPr>
              <w:rPr>
                <w:shd w:fill="FFFFFF"/>
              </w:rPr>
              <w:t>0,00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b w:val="on"/>
              </w:rPr>
              <w:rPr>
                <w:shd w:fill="FFFFFF"/>
              </w:rPr>
              <w:t>18,16</w:t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</w:tc>
        <w:tc>
          <w:tcPr>
            <w:tcW w:type="dxa" w:w="2142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rPr>
                <w:shd w:fill="FFFFFF"/>
              </w:rPr>
              <w:t/>
            </w:r>
          </w:p>
        </w:tc>
      </w:tr>
    </w:tbl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Просроченной кредиторской задолженности и не реальной к взысканию дебиторской задолженности в Управлении по состоянию на 01 января 2026 года нет. Вся обязательства по дебиторской и кредиторской задолженности являются текущими. </w:t>
      </w:r>
    </w:p>
    <w:p>
      <w:pPr>
        <w:spacing w:before="0" w:after="0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  <w:color w:val="000000"/>
        </w:rPr>
        <w:t>         Форма 0503173 «Сведения об изменении остатков валюты баланса». В результате исправления ошибок прошлых лет изменились входящие остатки по балансовым счетам. В форме в разделе 4 отражены причины исправления ошибок.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right="0" w:left="0" w:firstLine="709"/>
        <w:jc w:val="both"/>
      </w:pPr>
      <w:r>
        <w:rPr/>
      </w:r>
      <w:r>
        <w:rPr>
          <w:u w:val="none"/>
          <w:sz w:val="32"/>
          <w:rFonts w:ascii="Times New Roman" w:hAnsi="Times New Roman" w:cs="Times New Roman" w:eastAsia="Times New Roman"/>
        </w:rPr>
        <w:rPr>
          <w:shd w:fill="FFFFFF"/>
        </w:rPr>
      </w:r>
      <w:r>
        <w:rPr>
          <w:sz w:val="32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rPr>
          <w:shd w:fill="FFFFFF"/>
        </w:rPr>
        <w:t>Форма 0503175 «Сведения о принятых и неисполненных обязательствах получателя бюджетных средств». Согласно подпункту б) пункта 18 приказа финансового управления администрации города Оренбурга от 18.03.2019 № 27 «Об установлении Порядка составления, представления бюджетной отчетности и сводной бухгалтерской отчетности» формирование показателей в части принятых и не исполненных бюджетных обязательств (денежных обязательств), отраженных по соответствующим строкам в графах 11, 12 раздела 1 «Бюджетные обязательства текущего (отчетного) финансового года по расходам» Отчета (ф. 0503128), размер которых составляет менее 500 000,00 рублей, показатели в разделах 1 и 2 Сведений (ф. 0503175) не отражаются.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firstLine="540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 xml:space="preserve">Форма № 0503178 «Сведения об остатках денежных средств на счетах получателя средств бюджета» </w:t>
      </w:r>
      <w:r>
        <w:rPr>
          <w:sz w:val="38"/>
          <w:rFonts w:ascii="Times New Roman" w:hAnsi="Times New Roman" w:cs="Times New Roman" w:eastAsia="Times New Roman"/>
          <w:u w:val="none"/>
          <w:i w:val="on"/>
        </w:rPr>
        <w:t>(средства во временном распоряжении)</w:t>
      </w:r>
      <w:r>
        <w:rPr>
          <w:sz w:val="38"/>
          <w:rFonts w:ascii="Times New Roman" w:hAnsi="Times New Roman" w:cs="Times New Roman" w:eastAsia="Times New Roman"/>
          <w:u w:val="none"/>
        </w:rPr>
        <w:t>. Форма в отчете представлена. В форме присутствуют остатки на начало и конец  отчетного периода денежных средств, перечисленных в счет обеспечения исполнения муниципальных контрактов.</w:t>
      </w:r>
    </w:p>
    <w:p>
      <w:pPr>
        <w:spacing w:before="0" w:after="0" w:lineRule="auto" w:line="240"/>
        <w:ind w:right="0" w:left="0" w:firstLine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  <w:b w:val="off"/>
          <w:i w:val="off"/>
          <w:strike w:val="off"/>
        </w:rPr>
      </w:r>
    </w:p>
    <w:p>
      <w:pPr>
        <w:spacing w:before="0" w:after="0" w:lineRule="auto" w:line="240"/>
        <w:ind w:right="0" w:left="0" w:firstLine="0"/>
        <w:jc w:val="center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  <w:b w:val="off"/>
          <w:i w:val="off"/>
          <w:strike w:val="off"/>
        </w:rPr>
      </w:r>
      <w:r>
        <w:rPr>
          <w:sz w:val="28"/>
          <w:rFonts w:ascii="Times New Roman" w:hAnsi="Times New Roman" w:cs="Times New Roman" w:eastAsia="Times New Roman"/>
          <w:u w:val="none"/>
          <w:b w:val="on"/>
        </w:rPr>
        <w:t>Раздел 5 "Прочие вопросы деятельности субъекта бюджетной отчетности"</w:t>
      </w:r>
    </w:p>
    <w:p>
      <w:pPr>
        <w:spacing w:before="0" w:after="0"/>
        <w:ind w:firstLine="708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  <w:color w:val="000000"/>
        </w:rPr>
        <w:t>Для обеспечения достоверности данных бюджетного учета</w:t>
      </w:r>
      <w:r>
        <w:rPr>
          <w:sz w:val="38"/>
          <w:rFonts w:ascii="Times New Roman" w:hAnsi="Times New Roman" w:cs="Times New Roman" w:eastAsia="Times New Roman"/>
          <w:u w:val="none"/>
        </w:rPr>
        <w:rPr>
          <w:shd w:fill="FFFFFF"/>
        </w:rPr>
        <w:t> перед составлением годовой отчетности проведена инвентаризация финансовых активов и обязательств. В управлении приказом руководителя утверждено положение «О порядке проведения инвентаризации». На основании приказа руководителя от 17.12.2025 № 34-п определены сроки проведения инвентаризации и объекты инвентаризации. Инвентаризация проведена на 01.01.2026. По результатам инвентаризации расхождений не выявлено. По счетам бухгалтерского учета, по которым отсутствует сальдо на 01.01.2026, инвентаризационные описи не формируются и не предоставляются. 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  <w:r>
        <w:rPr>
          <w:u w:val="none"/>
          <w:sz w:val="24"/>
        </w:rPr>
        <w:t>Форма 0503296 «Сведения об исполнении судебных решений по денежным обязательствам бюджета». В форме отражено принятое и исполненное денежное обязательство по решению мирового судьи о наложении административного штрафа за нецелевое использование бюджетных средств на основании постановления Счетной палаты города Оренбурга.</w:t>
      </w:r>
    </w:p>
    <w:p>
      <w:pPr>
        <w:spacing w:before="0" w:after="0"/>
        <w:ind w:firstLine="708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28"/>
          <w:rFonts w:ascii="Times New Roman" w:hAnsi="Times New Roman" w:cs="Times New Roman" w:eastAsia="Times New Roman"/>
          <w:u w:val="none"/>
        </w:rPr>
        <w:t xml:space="preserve">Бюджетный учет и составление бюджетной отчетности в управлении ведется в соответствии с нормативными правовыми актами, регулирующими ведение учета и составление бухгалтерской (финансовой) отчетности, с применением федеральных стандартов бухгалтерского учета для организаций государственного сектора, утвержденными приказами Минфина России, действующими на отчетную дату и </w:t>
      </w:r>
      <w:r>
        <w:rPr>
          <w:sz w:val="28"/>
          <w:rFonts w:ascii="Times New Roman" w:hAnsi="Times New Roman" w:cs="Times New Roman" w:eastAsia="Times New Roman"/>
          <w:u w:val="none"/>
          <w:color w:val="000000"/>
        </w:rPr>
        <w:t>иными нормативно-правовыми актами Российской Федерации о бухгалтерском учете, а также локальными актами финансового управления</w:t>
      </w:r>
      <w:r>
        <w:rPr>
          <w:sz w:val="28"/>
          <w:rFonts w:ascii="Times New Roman" w:hAnsi="Times New Roman" w:cs="Times New Roman" w:eastAsia="Times New Roman"/>
          <w:u w:val="none"/>
        </w:rPr>
        <w:t>: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  <w:r>
        <w:rPr>
          <w:u w:val="none"/>
          <w:sz w:val="28"/>
          <w:rFonts w:ascii="Times New Roman" w:hAnsi="Times New Roman" w:cs="Times New Roman" w:eastAsia="Times New Roman"/>
        </w:rPr>
        <w:t xml:space="preserve">- </w:t>
      </w:r>
      <w:r>
        <w:rPr>
          <w:u w:val="none"/>
          <w:sz w:val="28"/>
          <w:rFonts w:ascii="Times New Roman" w:hAnsi="Times New Roman" w:cs="Times New Roman" w:eastAsia="Times New Roman"/>
          <w:color w:val="000000"/>
        </w:rPr>
        <w:t>Федеральный закон «О бухгалтерском учете» от 06.12.2011 № 402-ФЗ; 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  <w:r>
        <w:rPr>
          <w:u w:val="none"/>
          <w:sz w:val="28"/>
          <w:rFonts w:ascii="Times New Roman" w:hAnsi="Times New Roman" w:cs="Times New Roman" w:eastAsia="Times New Roman"/>
        </w:rPr>
        <w:t xml:space="preserve">- </w:t>
      </w:r>
      <w:r>
        <w:rPr>
          <w:u w:val="none"/>
          <w:sz w:val="28"/>
          <w:rFonts w:ascii="Times New Roman" w:hAnsi="Times New Roman" w:cs="Times New Roman" w:eastAsia="Times New Roman"/>
          <w:color w:val="000000"/>
          <w:strike w:val="off"/>
        </w:rPr>
        <w:t>приказ</w:t>
      </w:r>
      <w:r>
        <w:rPr>
          <w:u w:val="none"/>
          <w:sz w:val="28"/>
          <w:rFonts w:ascii="Times New Roman" w:hAnsi="Times New Roman" w:cs="Times New Roman" w:eastAsia="Times New Roman"/>
          <w:color w:val="000000"/>
        </w:rPr>
        <w:t> Министерства финансов РФ от 06.12.2010 № 162н «</w:t>
      </w:r>
      <w:r>
        <w:rPr>
          <w:u w:val="none"/>
          <w:sz w:val="28"/>
          <w:rFonts w:ascii="Times New Roman" w:hAnsi="Times New Roman" w:cs="Times New Roman" w:eastAsia="Times New Roman"/>
        </w:rPr>
        <w:t>Об утверждении Плана счетов бюджетного учета и Инструкции по его применению</w:t>
      </w:r>
      <w:r>
        <w:rPr>
          <w:u w:val="none"/>
          <w:sz w:val="28"/>
          <w:rFonts w:ascii="Times New Roman" w:hAnsi="Times New Roman" w:cs="Times New Roman" w:eastAsia="Times New Roman"/>
          <w:color w:val="000000"/>
        </w:rPr>
        <w:t>»;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  <w:r>
        <w:rPr>
          <w:u w:val="none"/>
          <w:sz w:val="28"/>
          <w:rFonts w:ascii="Times New Roman" w:hAnsi="Times New Roman" w:cs="Times New Roman" w:eastAsia="Times New Roman"/>
        </w:rPr>
        <w:t xml:space="preserve">- </w:t>
      </w:r>
      <w:r>
        <w:rPr>
          <w:u w:val="none"/>
          <w:sz w:val="28"/>
          <w:rFonts w:ascii="Times New Roman" w:hAnsi="Times New Roman" w:cs="Times New Roman" w:eastAsia="Times New Roman"/>
          <w:color w:val="000000"/>
          <w:strike w:val="off"/>
        </w:rPr>
        <w:t>приказ</w:t>
      </w:r>
      <w:r>
        <w:rPr>
          <w:u w:val="none"/>
          <w:sz w:val="28"/>
          <w:rFonts w:ascii="Times New Roman" w:hAnsi="Times New Roman" w:cs="Times New Roman" w:eastAsia="Times New Roman"/>
          <w:color w:val="000000"/>
        </w:rPr>
        <w:t> Министерства финансов РФ</w:t>
      </w:r>
      <w:r>
        <w:rPr>
          <w:u w:val="none"/>
          <w:sz w:val="28"/>
          <w:rFonts w:ascii="Times New Roman" w:hAnsi="Times New Roman" w:cs="Times New Roman" w:eastAsia="Times New Roman"/>
        </w:rPr>
        <w:t xml:space="preserve"> от 01.12.2010 № 157н «</w:t>
      </w:r>
      <w:r>
        <w:rPr>
          <w:u w:val="none"/>
          <w:sz w:val="28"/>
          <w:rFonts w:ascii="Times New Roman" w:hAnsi="Times New Roman" w:cs="Times New Roman" w:eastAsia="Times New Roman"/>
          <w:color w:val="000000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  <w:r>
        <w:rPr>
          <w:u w:val="none"/>
          <w:rFonts w:ascii="Times New Roman" w:hAnsi="Times New Roman" w:cs="Times New Roman" w:eastAsia="Times New Roman"/>
          <w:sz w:val="24"/>
        </w:rPr>
        <w:rPr>
          <w:shd w:fill="FFFFFF"/>
        </w:rPr>
        <w:t>- инструкция </w:t>
      </w:r>
      <w:r>
        <w:rPr>
          <w:u w:val="none"/>
          <w:rFonts w:ascii="Times New Roman" w:hAnsi="Times New Roman" w:cs="Times New Roman" w:eastAsia="Times New Roman"/>
          <w:color w:val="000000"/>
          <w:sz w:val="24"/>
        </w:rPr>
        <w:rPr>
          <w:shd w:fill="FFFFFF"/>
        </w:rPr>
        <w:t>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утвержденная Приказом Минфина России от 28.12.2010 № 191н;</w:t>
      </w:r>
    </w:p>
    <w:p>
      <w:pPr>
        <w:spacing w:before="0" w:after="0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         - приказ Минфина России от 24.05.2022 № 82н «О Порядке формирования и применения кодов бюджетной классификации Российской Федерации, их структуре и принципах назначения»;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  <w:r>
        <w:rPr>
          <w:u w:val="none"/>
          <w:rFonts w:ascii="Times New Roman" w:hAnsi="Times New Roman" w:cs="Times New Roman" w:eastAsia="Times New Roman"/>
          <w:color w:val="000000"/>
          <w:sz w:val="24"/>
        </w:rPr>
        <w:t>- приказ Минфина России от 29.11.2017 № 209н «Об утверждении Порядка применения классификации операций сектора государственного управления»;</w:t>
      </w:r>
    </w:p>
    <w:p>
      <w:pPr>
        <w:spacing w:before="0" w:after="0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  <w:color w:val="000000"/>
        </w:rPr>
        <w:t>         - приказ финансового управления администрации города Оренбурга от </w:t>
      </w:r>
      <w:r>
        <w:rPr>
          <w:sz w:val="38"/>
          <w:rFonts w:ascii="Times New Roman" w:hAnsi="Times New Roman" w:cs="Times New Roman" w:eastAsia="Times New Roman"/>
          <w:u w:val="none"/>
        </w:rPr>
        <w:t>18.03.2019 № 27  «Об установлении Порядка составления  и представления бюджетной отчетности  и сводной бухгалтерской отчетности»;</w:t>
      </w:r>
    </w:p>
    <w:p>
      <w:pPr>
        <w:spacing w:before="0" w:after="0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  <w:color w:val="000000"/>
        </w:rPr>
        <w:t>         приказ финансового управления от 25.12.2025</w:t>
      </w:r>
      <w:r>
        <w:rPr>
          <w:sz w:val="38"/>
          <w:rFonts w:ascii="Times New Roman" w:hAnsi="Times New Roman" w:cs="Times New Roman" w:eastAsia="Times New Roman"/>
          <w:u w:val="none"/>
        </w:rPr>
        <w:t>  № 94 «О сроках  представления сводной бюджетной отчётности и сводной бухгалтерской отчётности за 2025 год»</w:t>
      </w:r>
      <w:r>
        <w:rPr>
          <w:sz w:val="38"/>
          <w:rFonts w:ascii="Times New Roman" w:hAnsi="Times New Roman" w:cs="Times New Roman" w:eastAsia="Times New Roman"/>
          <w:u w:val="none"/>
          <w:color w:val="000000"/>
        </w:rPr>
        <w:t>.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  <w:r>
        <w:rPr>
          <w:u w:val="none"/>
          <w:rFonts w:ascii="Times New Roman" w:hAnsi="Times New Roman" w:cs="Times New Roman" w:eastAsia="Times New Roman"/>
          <w:color w:val="000000"/>
          <w:sz w:val="24"/>
        </w:rPr>
        <w:t>В соответствии с СГС «</w:t>
      </w:r>
      <w:r>
        <w:rPr>
          <w:u w:val="none"/>
          <w:rFonts w:ascii="Times New Roman" w:hAnsi="Times New Roman" w:cs="Times New Roman" w:eastAsia="Times New Roman"/>
          <w:sz w:val="24"/>
        </w:rPr>
        <w:t>Представление бухгалтерской (финансовой) отчетности» от 31 декабря 2016 г. № 260н осуществлялось размещение на сайте Администрации города Оренбурга бу</w:t>
      </w:r>
      <w:r>
        <w:rPr>
          <w:u w:val="none"/>
          <w:rFonts w:ascii="Times New Roman" w:hAnsi="Times New Roman" w:cs="Times New Roman" w:eastAsia="Times New Roman"/>
          <w:color w:val="000000"/>
          <w:sz w:val="24"/>
        </w:rPr>
        <w:t>хгалтерской (финансовой) отчетности управления за 2024 год. </w:t>
      </w:r>
    </w:p>
    <w:p>
      <w:pPr>
        <w:spacing w:before="0" w:after="0"/>
        <w:ind w:firstLine="566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Учетная политика реализуется согласно приказу финансового управления администрации города Оренбурга от 01.08.2023 № 74 «Об утверждении единой учетной политики при централизации учета».</w:t>
      </w:r>
    </w:p>
    <w:p>
      <w:pPr>
        <w:spacing w:before="0" w:after="0"/>
        <w:ind w:firstLine="566"/>
        <w:jc w:val="center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Основные положения учетной политики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</w:p>
    <w:p>
      <w:pPr>
        <w:spacing w:before="0" w:after="0"/>
        <w:jc w:val="center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  <w:color w:val="000000"/>
        </w:rPr>
        <w:t>Наименование объекта учета</w:t>
      </w:r>
    </w:p>
    <w:p>
      <w:pPr>
        <w:spacing w:before="0" w:after="0"/>
        <w:jc w:val="center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  <w:color w:val="000000"/>
        </w:rPr>
        <w:t>Код счета бюджетного учета</w:t>
      </w:r>
    </w:p>
    <w:p>
      <w:pPr>
        <w:spacing w:before="0" w:after="0"/>
        <w:jc w:val="center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  <w:color w:val="000000"/>
        </w:rPr>
        <w:t>Способ ведения бюджетного учета</w:t>
      </w:r>
    </w:p>
    <w:p>
      <w:pPr>
        <w:spacing w:before="0" w:after="0"/>
        <w:jc w:val="center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  <w:color w:val="000000"/>
        </w:rPr>
        <w:t>Характеристика применяемого способа</w:t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  <w:color w:val="000000"/>
        </w:rPr>
        <w:t>Пункт учетной политики</w:t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  <w:color w:val="000000"/>
        </w:rPr>
        <w:t>Активы, обязательства, финансовый результат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  <w:r>
        <w:rPr>
          <w:u w:val="none"/>
          <w:sz w:val="32"/>
          <w:rFonts w:ascii="Times New Roman" w:hAnsi="Times New Roman" w:cs="Times New Roman" w:eastAsia="Times New Roman"/>
          <w:color w:val="000000"/>
        </w:rPr>
        <w:t>1 00000000</w:t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  <w:color w:val="000000"/>
        </w:rPr>
        <w:t>Организация ведения бухгалтерского учета</w:t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  <w:color w:val="000000"/>
        </w:rPr>
        <w:t>Полномочия переданы централизованной бухгалтерии</w:t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  <w:color w:val="000000"/>
        </w:rPr>
        <w:t>п.2.1.</w:t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  <w:color w:val="000000"/>
        </w:rPr>
        <w:t>Бланки строгой отчетности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  <w:r>
        <w:rPr>
          <w:u w:val="none"/>
          <w:sz w:val="32"/>
          <w:rFonts w:ascii="Times New Roman" w:hAnsi="Times New Roman" w:cs="Times New Roman" w:eastAsia="Times New Roman"/>
          <w:color w:val="000000"/>
        </w:rPr>
        <w:t>1 00003000</w:t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  <w:color w:val="000000"/>
        </w:rPr>
        <w:t>Учет</w:t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  <w:color w:val="000000"/>
        </w:rPr>
        <w:t>Условная оценка: один бланк, один рубль</w:t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  <w:color w:val="000000"/>
        </w:rPr>
        <w:t>п.4.2.14</w:t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  <w:color w:val="000000"/>
        </w:rPr>
        <w:t>Основные средства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  <w:r>
        <w:rPr>
          <w:u w:val="none"/>
          <w:sz w:val="32"/>
          <w:rFonts w:ascii="Times New Roman" w:hAnsi="Times New Roman" w:cs="Times New Roman" w:eastAsia="Times New Roman"/>
          <w:color w:val="000000"/>
        </w:rPr>
        <w:t>1 10100000</w:t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  <w:color w:val="000000"/>
        </w:rPr>
        <w:t>Определение срока полезного использования</w:t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  <w:color w:val="000000"/>
        </w:rPr>
        <w:t>Исходя из рекомендаций, содержащихся в документах производителя, входящих в комплектацию объекта имущества, и (или) на основании решения комиссии субъекта учета по поступлению и выбытию активов</w:t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</w:rPr>
        <w:t>п.4.1.2</w:t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  <w:color w:val="000000"/>
        </w:rPr>
        <w:t>Амортизация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  <w:r>
        <w:rPr>
          <w:u w:val="none"/>
          <w:sz w:val="32"/>
          <w:rFonts w:ascii="Times New Roman" w:hAnsi="Times New Roman" w:cs="Times New Roman" w:eastAsia="Times New Roman"/>
          <w:color w:val="000000"/>
        </w:rPr>
        <w:t>1 10400000</w:t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  <w:color w:val="000000"/>
        </w:rPr>
        <w:t>Методы начисления амортизации</w:t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  <w:color w:val="000000"/>
        </w:rPr>
        <w:t>Линейный метод</w:t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</w:rPr>
        <w:t>п.4.1.3</w:t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  <w:color w:val="000000"/>
        </w:rPr>
        <w:t>Материальные запасы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  <w:r>
        <w:rPr>
          <w:u w:val="none"/>
          <w:sz w:val="32"/>
          <w:rFonts w:ascii="Times New Roman" w:hAnsi="Times New Roman" w:cs="Times New Roman" w:eastAsia="Times New Roman"/>
          <w:color w:val="000000"/>
        </w:rPr>
        <w:t>1 10500000</w:t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  <w:color w:val="000000"/>
        </w:rPr>
        <w:t>Выбытие материальных запасов</w:t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  <w:color w:val="000000"/>
        </w:rPr>
        <w:t>По средней фактической стоимости</w:t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2"/>
          <w:rFonts w:ascii="Times New Roman" w:hAnsi="Times New Roman" w:cs="Times New Roman" w:eastAsia="Times New Roman"/>
          <w:u w:val="none"/>
          <w:color w:val="000000"/>
        </w:rPr>
        <w:t>п.4.2.7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         Бюджетный учет исполнения бюджетной сметы осуществлялся с применением системы автоматизации АИС «Веб-исполнение» и системы автоматизации бухгалтерского учета «1С:Бухгалтерия 8.2». Отчетность предоставляется с применением АИС «Веб-Консолидация».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Формы, которые не содержат числовых и текстовых показателей, а также в связи с отсутствием расхождений, в состав отчетности об исполнении бюджета за отчетный период не включаются:</w:t>
      </w:r>
    </w:p>
    <w:p>
      <w:pPr>
        <w:spacing w:before="0" w:after="0"/>
        <w:ind w:right="0" w:left="0"/>
        <w:jc w:val="both"/>
      </w:pPr>
      <w:r>
        <w:rPr/>
      </w:r>
      <w:r>
        <w:rPr>
          <w:u w:val="none"/>
          <w:sz w:val="42"/>
          <w:rFonts w:ascii="Calibri Light" w:hAnsi="Calibri Light" w:cs="Calibri Light" w:eastAsia="Calibri Light"/>
          <w:b w:val="on"/>
        </w:rPr>
      </w:r>
      <w:r>
        <w:rPr>
          <w:sz w:val="42"/>
          <w:rFonts w:ascii="Calibri Light" w:hAnsi="Calibri Light" w:cs="Calibri Light" w:eastAsia="Calibri Light"/>
          <w:b w:val="on"/>
          <w:u w:val="none"/>
        </w:rPr>
        <w:t/>
      </w:r>
      <w:r>
        <w:rPr>
          <w:sz w:val="38"/>
          <w:rFonts w:ascii="Times New Roman" w:hAnsi="Calibri Light" w:cs="Calibri Light" w:eastAsia="Calibri Light"/>
          <w:b w:val="on"/>
          <w:u w:val="none"/>
        </w:rPr>
        <w:t>         сводные Справки формы 0503125 по  кодам счетов, указанных  в   пунктах  39, 40 Инструкции № 191н, 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         Форма 0503167 «Сведения о целевых иностранных кредитах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Форма 0503171 «Сведения о финансовых вложениях получателя бюджетных средств, администратора источников финансирования дефицита бюджета»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Форма 0503172 «Сведения о государственном (муниципальном) долге, предоставленных бюджетных кредитах»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Форма 0503174 «Сведения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капитале»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Форма 0503190  «Сведения о вложениях в объекты недвижимого имущества, объектах незавершенного строительства»</w:t>
      </w:r>
    </w:p>
    <w:p>
      <w:pPr>
        <w:spacing w:before="0" w:after="0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          Таблица 3 «Сведения об исполнении текстовых статей закона (решения) о бюджете».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Таблица 14 «Анализ показателей отчетности субъекта бюджетной отчетности»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Таблица 15 «Причины увеличения просроченной задолженности»</w:t>
      </w:r>
    </w:p>
    <w:p>
      <w:pPr>
        <w:spacing w:before="0" w:after="0"/>
        <w:ind w:firstLine="720"/>
        <w:jc w:val="both"/>
      </w:pPr>
      <w:r>
        <w:rPr/>
      </w:r>
      <w:r>
        <w:rPr>
          <w:u w:val="none"/>
          <w:sz w:val="32"/>
          <w:rFonts w:ascii="Times New Roman" w:hAnsi="Times New Roman" w:cs="Times New Roman" w:eastAsia="Times New Roman"/>
        </w:rPr>
        <w:rPr>
          <w:shd w:fill="FFFFFF"/>
        </w:rPr>
      </w:r>
      <w:r>
        <w:rPr>
          <w:sz w:val="32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rPr>
          <w:shd w:fill="FFFFFF"/>
        </w:rPr>
        <w:t>Дополнительные формы, утвержденные приказами финансового управления:</w:t>
      </w:r>
    </w:p>
    <w:p>
      <w:pPr>
        <w:spacing w:before="0" w:after="0"/>
        <w:ind w:firstLine="720"/>
        <w:jc w:val="both"/>
      </w:pPr>
      <w:r>
        <w:rPr/>
      </w:r>
      <w:r>
        <w:rPr>
          <w:u w:val="none"/>
          <w:sz w:val="32"/>
          <w:rFonts w:ascii="Times New Roman" w:hAnsi="Times New Roman" w:cs="Times New Roman" w:eastAsia="Times New Roman"/>
        </w:rPr>
        <w:rPr>
          <w:shd w:fill="FFFFFF"/>
        </w:rPr>
      </w:r>
      <w:r>
        <w:rPr>
          <w:sz w:val="32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rPr>
          <w:shd w:fill="FFFFFF"/>
        </w:rPr>
        <w:t>от 31.03.2014 № 23 (Сведения о поступлениях от продажи акций и иных форм участия в капитале, находящихся в муниципальной собственности);</w:t>
      </w:r>
    </w:p>
    <w:p>
      <w:pPr>
        <w:spacing w:before="0" w:after="0"/>
        <w:ind w:firstLine="720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от 29.04.2019 № 35 «Отчет об использовании бюджетных ассигнований резервных  фондов Администрации города Оренбурга. Отчет об использовании средств резервных фондов Администрации города Оренбурга»».</w:t>
      </w:r>
    </w:p>
    <w:p>
      <w:pPr>
        <w:spacing w:before="0" w:after="0"/>
        <w:ind w:firstLine="709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 </w:t>
      </w:r>
    </w:p>
    <w:p>
      <w:pPr>
        <w:spacing w:before="0" w:after="0"/>
        <w:ind w:firstLine="566"/>
        <w:jc w:val="right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Приложение 2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right="0" w:left="566"/>
        <w:jc w:val="center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Сведения об исполнении муниципальных программ на 01.01.2026.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tbl>
      <w:tblPr>
        <w:tblW w:w="10711" w:type="dxa"/>
        <w:tblBorders>
          <w:top w:val="single" w:sz="8"/>
          <w:left w:val="single" w:sz="8"/>
          <w:bottom w:val="single" w:sz="8"/>
          <w:right w:val="single" w:sz="8"/>
          <w:insideH w:val="single" w:sz="8"/>
          <w:insideV w:val="single" w:sz="8"/>
        </w:tblBorders>
        <w:tblLayout w:type="fixed"/>
      </w:tblPr>
      <w:tblGrid>
        <w:gridCol w:w="1338"/>
        <w:gridCol w:w="1338"/>
        <w:gridCol w:w="1338"/>
        <w:gridCol w:w="1338"/>
        <w:gridCol w:w="1338"/>
        <w:gridCol w:w="1338"/>
        <w:gridCol w:w="1338"/>
        <w:gridCol w:w="1338"/>
      </w:tblGrid>
      <w:tr>
        <w:trPr>
          <w:tblHeader/>
        </w:trPr>
        <w:tc>
          <w:tcPr>
            <w:tcW w:type="dxa" w:w="1338"/>
            <w:vMerge w:val="restart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Наименование муниципальной программы, структурного элемента (муниципальных проектов, комплексов процессных мероприятий)</w:t>
            </w:r>
          </w:p>
        </w:tc>
        <w:tc>
          <w:tcPr>
            <w:tcW w:type="dxa" w:w="4014"/>
            <w:gridSpan w:val="3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Код целевой статьи расходов по бюджетной классификации      </w:t>
            </w:r>
          </w:p>
        </w:tc>
        <w:tc>
          <w:tcPr>
            <w:tcW w:type="dxa" w:w="1338"/>
            <w:vMerge w:val="restart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Утверждено сводной бюджетной росписью,                    с учетом изменений, руб.</w:t>
            </w:r>
          </w:p>
        </w:tc>
        <w:tc>
          <w:tcPr>
            <w:tcW w:type="dxa" w:w="1338"/>
            <w:vMerge w:val="restart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Исполнено, руб.</w:t>
            </w:r>
          </w:p>
        </w:tc>
        <w:tc>
          <w:tcPr>
            <w:tcW w:type="dxa" w:w="1338"/>
            <w:vMerge w:val="restart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Не исполнено, руб</w:t>
            </w:r>
          </w:p>
        </w:tc>
        <w:tc>
          <w:tcPr>
            <w:tcW w:type="dxa" w:w="1338"/>
            <w:vMerge w:val="restart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Причины отклонений</w:t>
            </w:r>
          </w:p>
        </w:tc>
      </w:tr>
      <w:tr>
        <w:tc>
          <w:tcPr>
            <w:tcW w:type="dxa" w:w="1338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Код </w:t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ГРБС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РзПз              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ЦСР</w:t>
            </w:r>
          </w:p>
        </w:tc>
        <w:tc>
          <w:tcPr>
            <w:tcW w:type="dxa" w:w="1338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338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338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338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</w:tr>
      <w:tr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1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2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3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4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5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6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             7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8</w:t>
            </w:r>
          </w:p>
        </w:tc>
      </w:tr>
      <w:tr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Муниципальная программа "Профилактика правонарушений в муниципальном образовании "город Оренбург"</w:t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029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0412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1540270540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3 570 000,00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3 469 284,83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100 715,17</w:t>
            </w:r>
          </w:p>
        </w:tc>
        <w:tc>
          <w:tcPr>
            <w:tcW w:type="dxa" w:w="1338"/>
            <w:vMerge w:val="restart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color w:val="000000"/>
              </w:rPr>
              <w:t>Оптимизация  расходов в соответствии с ПАГ от 21.01.2025 № 68-п " </w:t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Об особенностях исполнения бюджета города Оренбурга в 2025 году</w:t>
            </w:r>
            <w:r>
              <w:rPr>
                <w:sz w:val="26"/>
                <w:rFonts w:ascii="Times New Roman" w:hAnsi="Times New Roman" w:cs="Times New Roman" w:eastAsia="Times New Roman"/>
                <w:u w:val="none"/>
                <w:color w:val="000000"/>
              </w:rPr>
              <w:t>"</w:t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</w:tc>
      </w:tr>
      <w:tr>
        <w:tc>
          <w:tcPr>
            <w:tcW w:type="dxa" w:w="1338"/>
            <w:vMerge w:val="restart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Муниципальная программа «Информатизация и связь в обеспечении деятельности органов местного самоуправления муниципального образования «город Оренбург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029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0113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3440192910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7 769 394,18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7 678 012,08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91 382,10</w:t>
            </w:r>
          </w:p>
        </w:tc>
        <w:tc>
          <w:tcPr>
            <w:tcW w:type="dxa" w:w="1338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</w:tr>
      <w:tr>
        <w:tc>
          <w:tcPr>
            <w:tcW w:type="dxa" w:w="1338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029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0113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3440192920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4 793 638,82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4 752 718,94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40 919,88</w:t>
            </w:r>
          </w:p>
        </w:tc>
        <w:tc>
          <w:tcPr>
            <w:tcW w:type="dxa" w:w="1338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</w:tr>
      <w:tr>
        <w:tc>
          <w:tcPr>
            <w:tcW w:type="dxa" w:w="1338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029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0412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3440211060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27 786 240,00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27 292 432,31</w:t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493 807,69</w:t>
            </w:r>
          </w:p>
        </w:tc>
        <w:tc>
          <w:tcPr>
            <w:tcW w:type="dxa" w:w="1338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</w:tr>
      <w:tr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Организация получения дополнительного профессионального образования муниципальными служащими Администрации города Оренбурга, отраслевых (функциональных) и территориальных органов Администрации города Оренбурга, участия в иных обучающих мероприятиях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029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0705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5840170130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61 000,00</w:t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61 000,00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0,00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</w:tc>
      </w:tr>
      <w:tr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ИТОГО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          43 980 773,00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     43 252 754,50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6"/>
                <w:rFonts w:ascii="Times New Roman" w:hAnsi="Times New Roman" w:cs="Times New Roman" w:eastAsia="Times New Roman"/>
                <w:u w:val="none"/>
              </w:rPr>
              <w:t>728 018,50</w:t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</w:tc>
      </w:tr>
      <w:tr>
        <w:tc>
          <w:tcPr>
            <w:tcW w:type="dxa" w:w="9366"/>
            <w:gridSpan w:val="7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338"/>
          </w:tcPr>
          <w:p>
            <w:pPr>
              <w:spacing w:before="0" w:after="0" w:lineRule="auto" w:line="240"/>
              <w:ind w:right="0" w:left="0" w:firstLine="72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6"/>
                <w:rFonts w:ascii="Arial" w:hAnsi="Times New Roman" w:cs="Times New Roman" w:eastAsia="Times New Roman"/>
                <w:u w:val="none"/>
              </w:rPr>
            </w:r>
            <w:r>
              <w:rPr>
                <w:sz w:val="26"/>
                <w:rFonts w:ascii="Arial" w:hAnsi="Arial" w:cs="Arial" w:eastAsia="Arial"/>
                <w:u w:val="none"/>
              </w:rPr>
              <w:t/>
            </w:r>
            <w:r>
              <w:rPr>
                <w:sz w:val="26"/>
                <w:rFonts w:ascii="Arial" w:hAnsi="Arial" w:cs="Arial" w:eastAsia="Arial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72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6"/>
                <w:rFonts w:ascii="Arial" w:hAnsi="Times New Roman" w:cs="Times New Roman" w:eastAsia="Times New Roman"/>
                <w:u w:val="none"/>
              </w:rPr>
            </w:r>
            <w:r>
              <w:rPr>
                <w:sz w:val="26"/>
                <w:rFonts w:ascii="Arial" w:hAnsi="Arial" w:cs="Arial" w:eastAsia="Arial"/>
                <w:u w:val="none"/>
              </w:rPr>
              <w:t/>
            </w:r>
          </w:p>
        </w:tc>
      </w:tr>
    </w:tbl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firstLine="3828"/>
        <w:jc w:val="right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Приложение 3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  <w:ind w:firstLine="3828"/>
        <w:jc w:val="both"/>
      </w:pPr>
      <w:r>
        <w:rPr/>
      </w:r>
      <w:r>
        <w:rPr>
          <w:u w:val="none"/>
          <w:sz w:val="38"/>
          <w:rFonts w:ascii="Times New Roman" w:hAnsi="Times New Roman" w:cs="Times New Roman" w:eastAsia="Times New Roman"/>
        </w:rPr>
      </w:r>
      <w:r>
        <w:rPr>
          <w:sz w:val="38"/>
          <w:rFonts w:ascii="Times New Roman" w:hAnsi="Times New Roman" w:cs="Times New Roman" w:eastAsia="Times New Roman"/>
          <w:u w:val="none"/>
        </w:rPr>
        <w:t/>
      </w:r>
      <w:r>
        <w:rPr>
          <w:sz w:val="38"/>
          <w:rFonts w:ascii="Times New Roman" w:hAnsi="Times New Roman" w:cs="Times New Roman" w:eastAsia="Times New Roman"/>
          <w:u w:val="none"/>
        </w:rPr>
        <w:t>Анализ исполнения бюджета по расходам на 01.01.2026</w:t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tbl>
      <w:tblPr>
        <w:tblW w:w="10711" w:type="dxa"/>
        <w:tblBorders>
          <w:top w:val="single" w:sz="8"/>
          <w:left w:val="single" w:sz="8"/>
          <w:bottom w:val="single" w:sz="8"/>
          <w:right w:val="single" w:sz="8"/>
          <w:insideH w:val="single" w:sz="8"/>
          <w:insideV w:val="single" w:sz="8"/>
        </w:tblBorders>
        <w:tblLayout w:type="fixed"/>
      </w:tblPr>
      <w:tblGrid>
        <w:gridCol w:w="1785"/>
        <w:gridCol w:w="1785"/>
        <w:gridCol w:w="1785"/>
        <w:gridCol w:w="1785"/>
        <w:gridCol w:w="1785"/>
        <w:gridCol w:w="1785"/>
      </w:tblGrid>
      <w:tr>
        <w:trPr>
          <w:tblHeader/>
        </w:trPr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color w:val="000000"/>
              </w:rPr>
              <w:t>                            (руб)</w:t>
            </w:r>
          </w:p>
        </w:tc>
      </w:tr>
      <w:tr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color w:val="000000"/>
              </w:rPr>
              <w:t>Раздел, Подраздел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color w:val="000000"/>
              </w:rPr>
              <w:t>Уточненный план на 2025 год 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color w:val="000000"/>
              </w:rPr>
              <w:t>Исполнено в 2025 году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color w:val="000000"/>
              </w:rPr>
              <w:t>Направление произведенных расходов*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color w:val="000000"/>
              </w:rPr>
              <w:t>% исполнения к уточненному плану 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color w:val="000000"/>
              </w:rPr>
              <w:t>Причины неисполнения назначений</w:t>
            </w:r>
          </w:p>
        </w:tc>
      </w:tr>
      <w:tr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color w:val="000000"/>
              </w:rPr>
              <w:t>1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color w:val="000000"/>
              </w:rPr>
              <w:t>2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color w:val="000000"/>
              </w:rPr>
              <w:t>3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color w:val="000000"/>
              </w:rPr>
              <w:t>4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color w:val="000000"/>
              </w:rPr>
              <w:t>5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color w:val="000000"/>
              </w:rPr>
              <w:t>6</w:t>
            </w:r>
          </w:p>
        </w:tc>
      </w:tr>
      <w:tr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  <w:color w:val="000000"/>
              </w:rPr>
              <w:t>0113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  <w:color w:val="000000"/>
              </w:rPr>
              <w:t>12 563 033,00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  <w:color w:val="000000"/>
              </w:rPr>
              <w:t>12 430 731,02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color w:val="000000"/>
              </w:rPr>
              <w:t> Услуги связи – 610,0</w:t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color w:val="000000"/>
              </w:rPr>
              <w:t>Аренда – 79 800,00 (Аренда оптического волокна – 79 800,00 руб.)</w:t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color w:val="000000"/>
              </w:rPr>
              <w:t>Работы, услуги по содержанию имущества  - 493 380,00 (За услуги по сопровождению узла коммутации телефонных вызовов – 412 500,00 руб.; За услуги по обслуживанию кондиционеров -51 880,00 руб.) </w:t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color w:val="000000"/>
              </w:rPr>
              <w:t>Прочие работы, услуги – </w:t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11 011 111,91 (За техническое сопровождение ПО "Умный город» - 450 000,00; За усл по резервному копированию и восстановлению информации – 530 000,00; За  тех.обслуживание инфраструктуры муниц информационной защищ сети передачи данных – 268 792,49; За усл по предоставлению информ. инфраструктуры как сервис на площадке Заказчика без ПО – 467 100,00; За усл тех.поддержке эксплуатации програм-аппарат. комплекса гор. инф-спр служб адм Оренбур – 951 270,20 руб.; За усл по предоставлению сертификатов технической поддержки средств защиты информации – 726 313,00 руб.; За предоставление права использования (неисключительных лицензий) программного обеспечения – 137 000,</w:t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00 руб.; XSUD – 499800,00 руб.; лицензии Континент АП – 50 988,70 руб.; ОП Linux – 149 467,77; Лицезии Касперского – 106 326,60 руб.; Сертификат средств защиты информации -  400 000,00 руб.; Сертификаты АльфаДок – 611 266,67 руб.; Активист – 200 000,00 руб.; Обслуживание Наумен  - 3 024 355,00 руб.; ПО система мониторинга – 790 333,33 руб.; Модуль анализа трафика – 1 648 098,75 руб.)</w:t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color w:val="000000"/>
              </w:rPr>
              <w:t>Увеличение основных средств – 842 342,75 руб. (поставка Коммутаторов – 734 976,89 руб.; Опечатывание – 10 113,64 руб.; Трансирверы – 97 252,22 руб.)</w:t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color w:val="000000"/>
              </w:rPr>
              <w:t>Увеличение стоимости материальных запасов –   3 486,36 руб.( Опечатывание – 3 486,36 руб.)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  <w:color w:val="000000"/>
              </w:rPr>
              <w:t>98,9%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  <w:color w:val="000000"/>
              </w:rPr>
              <w:t>Оптимизация  расходов в соответствии с ПАГ от 21.01.2025 № 68-п " </w:t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Об особенностях исполнения бюджета города Оренбурга в 2025 году</w:t>
            </w:r>
            <w:r>
              <w:rPr>
                <w:sz w:val="32"/>
                <w:rFonts w:ascii="Times New Roman" w:hAnsi="Times New Roman" w:cs="Times New Roman" w:eastAsia="Times New Roman"/>
                <w:u w:val="none"/>
                <w:color w:val="000000"/>
              </w:rPr>
              <w:t>"</w:t>
            </w:r>
          </w:p>
        </w:tc>
      </w:tr>
      <w:tr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  <w:color w:val="000000"/>
              </w:rPr>
              <w:t>0412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  <w:color w:val="000000"/>
              </w:rPr>
              <w:t>31 356 740,00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  <w:color w:val="000000"/>
              </w:rPr>
              <w:t>30 761 023,48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color w:val="000000"/>
              </w:rPr>
              <w:t>Оплата труда – 20 342 137,20;</w:t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color w:val="000000"/>
              </w:rPr>
              <w:t>Оплата больничных листов –</w:t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color w:val="000000"/>
              </w:rPr>
              <w:t>44 252,43;</w:t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color w:val="000000"/>
              </w:rPr>
              <w:t>Взносы по обязательному социальному страхованию –</w:t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color w:val="000000"/>
              </w:rPr>
              <w:t>6 184 510,13</w:t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color w:val="000000"/>
              </w:rPr>
              <w:t>Услуги связи –</w:t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417 344,39</w:t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color w:val="000000"/>
              </w:rPr>
              <w:t>;</w:t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color w:val="000000"/>
              </w:rPr>
              <w:t>Коммунальные услуги – </w:t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29 688,95;</w:t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color w:val="000000"/>
              </w:rPr>
              <w:t>Работы, услуги по содержанию имущества – </w:t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 xml:space="preserve"> 1 551 129,58 (За выпол работ по эксплуатационно-тех.обслуживанию ведомственной информационной системы – 851  153,25 руб.; </w:t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color w:val="404040"/>
              </w:rPr>
              <w:t>За работы по эксплуатационно-тех.обслуживанию ведомственной информац. системы, 599 976,33 руб.; Восстановление оптических линий связи – 100 000,00 руб. </w:t>
            </w:r>
            <w:r>
              <w:rPr>
                <w:sz w:val="30"/>
                <w:rFonts w:ascii="Times New Roman" w:hAnsi="Times New Roman" w:cs="Times New Roman" w:eastAsia="Times New Roman"/>
                <w:u w:val="none"/>
              </w:rPr>
              <w:t>)</w:t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color w:val="000000"/>
              </w:rPr>
              <w:t>Прочие работы, услуги – 1 449 602,60(За оказание платных мед.услуг (профосмотр) – 42 065,00 руб.; За комплекты программного обеспечения SecurOSEnterprise – 1 190 300,00 руб.; За неисключительные права использования ПО "СБИС" – 15 900,00 руб.; Лицензии Касперского – 81 516,60 руб.; ПО «ГосЗаказ» - 35 960,00 руб.; Спецоценка условий труда – 19 000,00 руб.; инструктаж не электротехнического персонала – 10 000,00 руб.; упорядочивание документов – 51 661,00 руб.; Нотариус – 3 200,00 руб.)</w:t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color w:val="000000"/>
              </w:rPr>
              <w:t>Увеличение основных средств –290 495,00 (За коммутаторы на БГ – 104 495,00; поставка вычислительно техники для муниципальных нужд – 186 000,00 руб.)</w:t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color w:val="000000"/>
              </w:rPr>
              <w:t>Увеличение стоимости материальных запасов –   451 363,20 (За воду питьевую – 22 200,00; За канц.товары и бумагу – 52 031,20 руб.; поставка видеокамер – 251 832,00 руб.; поставка комплектующих для муниципальных нужд – 125 300,00 руб.)</w:t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color w:val="000000"/>
              </w:rPr>
              <w:t>Другие экономические санкции – 500,00 руб. (Штраф – 500,00 руб.)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  <w:color w:val="000000"/>
              </w:rPr>
              <w:t>98,1 %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  <w:color w:val="000000"/>
              </w:rPr>
              <w:t>Оптимизация  расходов в соответствии с ПАГ от 21.01.2025 № 68-п " </w:t>
            </w:r>
            <w:r>
              <w:rPr>
                <w:sz w:val="32"/>
                <w:rFonts w:ascii="Times New Roman" w:hAnsi="Times New Roman" w:cs="Times New Roman" w:eastAsia="Times New Roman"/>
                <w:u w:val="none"/>
              </w:rPr>
              <w:t>Об особенностях исполнения бюджета города Оренбурга в 2025 году</w:t>
            </w:r>
            <w:r>
              <w:rPr>
                <w:sz w:val="32"/>
                <w:rFonts w:ascii="Times New Roman" w:hAnsi="Times New Roman" w:cs="Times New Roman" w:eastAsia="Times New Roman"/>
                <w:u w:val="none"/>
                <w:color w:val="000000"/>
              </w:rPr>
              <w:t>"</w:t>
            </w:r>
          </w:p>
        </w:tc>
      </w:tr>
      <w:tr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  <w:color w:val="000000"/>
              </w:rPr>
              <w:t>0705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  <w:color w:val="000000"/>
              </w:rPr>
              <w:t>61 000,00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  <w:color w:val="000000"/>
              </w:rPr>
              <w:t>61 000,00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0"/>
                <w:rFonts w:ascii="Times New Roman" w:hAnsi="Times New Roman" w:cs="Times New Roman" w:eastAsia="Times New Roman"/>
                <w:u w:val="none"/>
                <w:color w:val="000000"/>
              </w:rPr>
              <w:t>Расходы на профессиональную подготовку и повышение квалификации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  <w:color w:val="000000"/>
              </w:rPr>
              <w:t>100,00 %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</w:tr>
      <w:tr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  <w:color w:val="000000"/>
              </w:rPr>
              <w:t>Итого по ГАБС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  <w:color w:val="000000"/>
              </w:rPr>
              <w:t>43 980 773,00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  <w:color w:val="000000"/>
              </w:rPr>
              <w:t>43 252 754,50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center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  <w:color w:val="000000"/>
              </w:rPr>
              <w:t>98,34 %</w:t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</w:p>
        </w:tc>
      </w:tr>
      <w:tr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</w:tr>
      <w:tr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</w:tr>
      <w:tr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</w:tr>
      <w:tr>
        <w:tc>
          <w:tcPr>
            <w:tcW w:type="dxa" w:w="10710"/>
            <w:gridSpan w:val="6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3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32"/>
                <w:rFonts w:ascii="Times New Roman" w:hAnsi="Times New Roman" w:cs="Times New Roman" w:eastAsia="Times New Roman"/>
                <w:u w:val="none"/>
                <w:color w:val="000000"/>
              </w:rPr>
              <w:t>* указать на какие цели были направлены бюджетные средства (укрупненно в рамках КЦСР)</w:t>
            </w:r>
          </w:p>
        </w:tc>
      </w:tr>
      <w:tr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  <w:tc>
          <w:tcPr>
            <w:tcW w:type="dxa" w:w="1785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/>
            </w:r>
          </w:p>
        </w:tc>
      </w:tr>
    </w:tbl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/>
      </w:pPr>
      <w:r>
        <w:rPr/>
      </w:r>
      <w:r>
        <w:rPr>
          <w:u w:val="none"/>
        </w:rPr>
      </w:r>
      <w:r>
        <w:rPr>
          <w:u w:val="none"/>
          <w:sz w:val="24"/>
        </w:rPr>
        <w:t/>
      </w:r>
    </w:p>
    <w:p>
      <w:pPr>
        <w:spacing w:before="0" w:after="0" w:lineRule="auto" w:line="240"/>
        <w:ind w:right="0" w:left="0" w:firstLine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  <w:b w:val="off"/>
          <w:i w:val="off"/>
          <w:strike w:val="off"/>
        </w:rPr>
      </w:r>
    </w:p>
    <w:tbl>
      <w:tblPr>
        <w:tblW w:w="10711" w:type="dxa"/>
        <w:tblBorders>
          <w:top w:val="none" w:sz="0"/>
          <w:left w:val="none" w:sz="0"/>
          <w:bottom w:val="none" w:sz="0"/>
          <w:right w:val="none" w:sz="0"/>
          <w:insideH w:val="single" w:sz="16"/>
          <w:insideV w:val="single" w:sz="16"/>
        </w:tblBorders>
        <w:tblLayout w:type="fixed"/>
      </w:tblPr>
      <w:tblGrid>
        <w:gridCol w:w="107"/>
        <w:gridCol w:w="6962"/>
        <w:gridCol w:w="3641"/>
      </w:tblGrid>
      <w:tr>
        <w:tc>
          <w:tcPr>
            <w:tcW w:type="dxa" w:w="107"/>
            <w:vMerge w:val="restart"/>
            <w:tcBorders>
              <w:right w:color="000000" w:sz="0" w:val="none"/>
            </w:tcBorders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6962"/>
            <w:tcBorders>
              <w:left w:color="000000" w:sz="0" w:val="none"/>
              <w:right w:color="000000" w:sz="0" w:val="none"/>
            </w:tcBorders>
            <w:vAlign w:val="top"/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ИСПОЛНЯЮЩИЙ ОБЯЗАННОСТИ НАЧАЛЬНИКА УПРАВЛЕНИЯ ПО ИНФОРМАТИКЕ И СВЯЗИ АДМИНИСТРАЦИИ ГОРОДА ОРЕНБУРГА</w:t>
            </w:r>
          </w:p>
        </w:tc>
        <w:tc>
          <w:tcPr>
            <w:tcW w:type="dxa" w:w="3641"/>
            <w:vMerge w:val="restart"/>
            <w:tcBorders>
              <w:left w:color="000000" w:sz="0" w:val="none"/>
            </w:tcBorders>
            <w:vAlign w:val="top"/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>
                <w:sz w:val="24"/>
              </w:rPr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>
                <w:sz w:val="24"/>
              </w:rPr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single"/>
              </w:rPr>
              <w:t/>
              <w:t>И.А. Новичков</w:t>
              <w:t> </w:t>
              <w:br w:type="textWrapping"/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16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  <w:t>  </w:t>
              <w:t>(расшифровка подписи)</w:t>
              <w:br w:type="textWrapping"/>
            </w:r>
          </w:p>
        </w:tc>
      </w:tr>
      <w:tr>
        <w:tc>
          <w:tcPr>
            <w:tcW w:type="dxa" w:w="107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6962"/>
            <w:tcBorders>
              <w:bottom w:color="000000" w:sz="0" w:val="none"/>
            </w:tcBorders>
            <w:vAlign w:val="top"/>
          </w:tcPr>
          <w:p>
            <w:pPr>
              <w:spacing w:before="56" w:after="56" w:lineRule="auto" w:line="240"/>
              <w:ind w:right="56" w:left="56" w:firstLine="0"/>
              <w:jc w:val="center"/>
            </w:pPr>
            <w:r>
              <w:rPr/>
            </w:r>
            <w:r>
              <w:rPr>
                <w:u w:val="none"/>
                <w:sz w:val="20"/>
                <w:rFonts w:ascii="Times New Roman" w:hAnsi="Times New Roman" w:cs="Times New Roman" w:eastAsia="Times New Roman"/>
                <w:b w:val="on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0"/>
                <w:rFonts w:ascii="Times New Roman" w:hAnsi="Times New Roman" w:cs="Times New Roman" w:eastAsia="Times New Roman"/>
                <w:b w:val="on"/>
                <w:i w:val="off"/>
                <w:strike w:val="off"/>
              </w:rPr>
            </w:r>
            <w:r>
              <w:rPr>
                <w:sz w:val="20"/>
                <w:rFonts w:ascii="Times New Roman" w:hAnsi="Times New Roman" w:cs="Times New Roman" w:eastAsia="Times New Roman"/>
                <w:b w:val="on"/>
                <w:u w:val="none"/>
                <w:i w:val="off"/>
                <w:strike w:val="off"/>
              </w:rPr>
            </w:r>
            <w:r>
              <w:rPr>
                <w:sz w:val="20"/>
                <w:rFonts w:ascii="Times New Roman" w:hAnsi="Times New Roman" w:cs="Times New Roman" w:eastAsia="Times New Roman"/>
                <w:b w:val="on"/>
                <w:u w:val="none"/>
              </w:rPr>
              <w:t>ДОКУМЕНТ ПОДПИСАН ЭЛЕКТРОННОЙ ПОДПИСЬЮ</w:t>
            </w:r>
          </w:p>
        </w:tc>
        <w:tc>
          <w:tcPr>
            <w:tcW w:type="dxa" w:w="3641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  <w:tr>
        <w:tc>
          <w:tcPr>
            <w:tcW w:type="dxa" w:w="107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6962"/>
            <w:tcBorders>
              <w:top w:color="000000" w:sz="0" w:val="none"/>
            </w:tcBorders>
          </w:tcPr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>Сертификат: 5C1BDAB605DB534210836EDB619FF7A6</w:t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>Владелец: Новичков Игорь Анатольевич</w:t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tLeast" w:line="20"/>
              <w:ind w:right="56" w:left="56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>Действителен с 11.12.2025 по 06.03.2027</w:t>
            </w:r>
          </w:p>
        </w:tc>
        <w:tc>
          <w:tcPr>
            <w:tcW w:type="dxa" w:w="3641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  <w:tr>
        <w:tc>
          <w:tcPr>
            <w:tcW w:type="dxa" w:w="107"/>
            <w:vMerge/>
            <w:tcBorders>
              <w:right w:color="000000" w:sz="0" w:val="none"/>
            </w:tcBorders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6962"/>
            <w:tcBorders>
              <w:left w:color="000000" w:sz="0" w:val="none"/>
              <w:right w:color="000000" w:sz="0" w:val="none"/>
            </w:tcBorders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3641"/>
            <w:vMerge/>
            <w:tcBorders>
              <w:left w:color="000000" w:sz="0" w:val="none"/>
            </w:tcBorders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</w:tbl>
    <w:p>
      <w:pPr>
        <w:spacing w:before="0" w:after="0" w:lineRule="auto" w:line="240"/>
        <w:ind w:right="0" w:left="0" w:firstLine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  <w:b w:val="off"/>
          <w:i w:val="off"/>
          <w:strike w:val="off"/>
        </w:rPr>
      </w:r>
    </w:p>
    <w:p>
      <w:pPr>
        <w:spacing w:before="0" w:after="0" w:lineRule="auto" w:line="240"/>
        <w:ind w:right="0" w:left="0" w:firstLine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  <w:b w:val="off"/>
          <w:i w:val="off"/>
          <w:strike w:val="off"/>
        </w:rPr>
      </w:r>
    </w:p>
    <w:tbl>
      <w:tblPr>
        <w:tblW w:w="10711" w:type="dxa"/>
        <w:tblBorders>
          <w:top w:val="none" w:sz="0"/>
          <w:left w:val="none" w:sz="0"/>
          <w:bottom w:val="none" w:sz="0"/>
          <w:right w:val="none" w:sz="0"/>
          <w:insideH w:val="single" w:sz="16"/>
          <w:insideV w:val="single" w:sz="16"/>
        </w:tblBorders>
        <w:tblLayout w:type="fixed"/>
      </w:tblPr>
      <w:tblGrid>
        <w:gridCol w:w="107"/>
        <w:gridCol w:w="6962"/>
        <w:gridCol w:w="3641"/>
      </w:tblGrid>
      <w:tr>
        <w:tc>
          <w:tcPr>
            <w:tcW w:type="dxa" w:w="107"/>
            <w:vMerge w:val="restart"/>
            <w:tcBorders>
              <w:right w:color="000000" w:sz="0" w:val="none"/>
            </w:tcBorders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6962"/>
            <w:tcBorders>
              <w:left w:color="000000" w:sz="0" w:val="none"/>
              <w:right w:color="000000" w:sz="0" w:val="none"/>
            </w:tcBorders>
            <w:vAlign w:val="top"/>
          </w:tcPr>
          <w:p>
            <w:pPr>
              <w:spacing w:before="0" w:after="0" w:lineRule="auto" w:line="240"/>
              <w:ind w:right="0" w:left="0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ДИРЕКТОР</w:t>
            </w:r>
          </w:p>
        </w:tc>
        <w:tc>
          <w:tcPr>
            <w:tcW w:type="dxa" w:w="3641"/>
            <w:vMerge w:val="restart"/>
            <w:tcBorders>
              <w:left w:color="000000" w:sz="0" w:val="none"/>
            </w:tcBorders>
            <w:vAlign w:val="top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>
                <w:sz w:val="24"/>
              </w:rPr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>
                <w:sz w:val="24"/>
              </w:rPr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single"/>
              </w:rPr>
              <w:t> </w:t>
              <w:t>Н.В. Махаева</w:t>
              <w:t> </w:t>
            </w:r>
          </w:p>
          <w:p>
            <w:pPr>
              <w:spacing w:after="0" w:before="0"/>
              <w:ind w:right="0" w:left="0" w:firstLine="0"/>
              <w:jc w:val="left"/>
            </w:pP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16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  <w:t> </w:t>
              <w:t>(расшифровка подписи)</w:t>
            </w:r>
          </w:p>
        </w:tc>
      </w:tr>
      <w:tr>
        <w:tc>
          <w:tcPr>
            <w:tcW w:type="dxa" w:w="107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6962"/>
            <w:tcBorders>
              <w:bottom w:color="000000" w:sz="0" w:val="none"/>
            </w:tcBorders>
            <w:vAlign w:val="top"/>
          </w:tcPr>
          <w:p>
            <w:pPr>
              <w:spacing w:before="56" w:after="56" w:lineRule="auto" w:line="240"/>
              <w:ind w:right="56" w:left="56" w:firstLine="0"/>
              <w:jc w:val="center"/>
            </w:pPr>
            <w:r>
              <w:rPr/>
            </w:r>
            <w:r>
              <w:rPr>
                <w:u w:val="none"/>
                <w:sz w:val="20"/>
                <w:rFonts w:ascii="Times New Roman" w:hAnsi="Times New Roman" w:cs="Times New Roman" w:eastAsia="Times New Roman"/>
                <w:b w:val="on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0"/>
                <w:rFonts w:ascii="Times New Roman" w:hAnsi="Times New Roman" w:cs="Times New Roman" w:eastAsia="Times New Roman"/>
                <w:b w:val="on"/>
                <w:i w:val="off"/>
                <w:strike w:val="off"/>
              </w:rPr>
            </w:r>
            <w:r>
              <w:rPr>
                <w:sz w:val="20"/>
                <w:rFonts w:ascii="Times New Roman" w:hAnsi="Times New Roman" w:cs="Times New Roman" w:eastAsia="Times New Roman"/>
                <w:b w:val="on"/>
                <w:u w:val="none"/>
                <w:i w:val="off"/>
                <w:strike w:val="off"/>
              </w:rPr>
            </w:r>
            <w:r>
              <w:rPr>
                <w:sz w:val="20"/>
                <w:rFonts w:ascii="Times New Roman" w:hAnsi="Times New Roman" w:cs="Times New Roman" w:eastAsia="Times New Roman"/>
                <w:b w:val="on"/>
                <w:u w:val="none"/>
              </w:rPr>
              <w:t>ДОКУМЕНТ ПОДПИСАН ЭЛЕКТРОННОЙ ПОДПИСЬЮ</w:t>
            </w:r>
          </w:p>
        </w:tc>
        <w:tc>
          <w:tcPr>
            <w:tcW w:type="dxa" w:w="3641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  <w:tr>
        <w:tc>
          <w:tcPr>
            <w:tcW w:type="dxa" w:w="107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6962"/>
            <w:tcBorders>
              <w:top w:color="000000" w:sz="0" w:val="none"/>
            </w:tcBorders>
          </w:tcPr>
          <w:p>
            <w:pPr>
              <w:spacing w:before="0" w:after="0" w:lineRule="auto" w:line="240"/>
              <w:ind w:right="0" w:left="0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>Сертификат: 4EEBEF76187BAC5EE8BF74B60ED7B923</w:t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>Владелец: Махаева Наталья Владимировна</w:t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>Действителен с 05.06.2025 по 29.08.2026</w:t>
            </w:r>
          </w:p>
        </w:tc>
        <w:tc>
          <w:tcPr>
            <w:tcW w:type="dxa" w:w="3641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  <w:tr>
        <w:tc>
          <w:tcPr>
            <w:tcW w:type="dxa" w:w="107"/>
            <w:vMerge/>
            <w:tcBorders>
              <w:right w:color="000000" w:sz="0" w:val="none"/>
            </w:tcBorders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6962"/>
            <w:tcBorders>
              <w:left w:color="000000" w:sz="0" w:val="none"/>
              <w:right w:color="000000" w:sz="0" w:val="none"/>
            </w:tcBorders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3641"/>
            <w:vMerge/>
            <w:tcBorders>
              <w:left w:color="000000" w:sz="0" w:val="none"/>
            </w:tcBorders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</w:tbl>
    <w:p>
      <w:pPr>
        <w:spacing w:before="0" w:after="0" w:lineRule="auto" w:line="240"/>
        <w:ind w:right="0" w:left="0" w:firstLine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  <w:b w:val="off"/>
          <w:i w:val="off"/>
          <w:strike w:val="off"/>
        </w:rPr>
      </w:r>
    </w:p>
    <w:tbl>
      <w:tblPr>
        <w:tblW w:w="10711" w:type="dxa"/>
        <w:tblBorders>
          <w:top w:val="none" w:sz="0"/>
          <w:left w:val="none" w:sz="0"/>
          <w:bottom w:val="none" w:sz="0"/>
          <w:right w:val="none" w:sz="0"/>
          <w:insideH w:val="single" w:sz="16"/>
          <w:insideV w:val="single" w:sz="16"/>
        </w:tblBorders>
        <w:tblLayout w:type="fixed"/>
      </w:tblPr>
      <w:tblGrid>
        <w:gridCol w:w="107"/>
        <w:gridCol w:w="6962"/>
        <w:gridCol w:w="3641"/>
      </w:tblGrid>
      <w:tr>
        <w:tc>
          <w:tcPr>
            <w:tcW w:type="dxa" w:w="107"/>
            <w:vMerge w:val="restart"/>
            <w:tcBorders>
              <w:right w:color="000000" w:sz="0" w:val="none"/>
            </w:tcBorders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6962"/>
            <w:tcBorders>
              <w:left w:color="000000" w:sz="0" w:val="none"/>
              <w:right w:color="000000" w:sz="0" w:val="none"/>
            </w:tcBorders>
            <w:vAlign w:val="top"/>
          </w:tcPr>
          <w:p>
            <w:pPr>
              <w:spacing w:before="0" w:after="0" w:lineRule="auto" w:line="240"/>
              <w:ind w:right="0" w:left="0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ДИРЕКТОР</w:t>
            </w:r>
          </w:p>
        </w:tc>
        <w:tc>
          <w:tcPr>
            <w:tcW w:type="dxa" w:w="3641"/>
            <w:vMerge w:val="restart"/>
            <w:tcBorders>
              <w:left w:color="000000" w:sz="0" w:val="none"/>
            </w:tcBorders>
            <w:vAlign w:val="top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>
                <w:sz w:val="24"/>
              </w:rPr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>
                <w:sz w:val="24"/>
              </w:rPr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single"/>
              </w:rPr>
              <w:t> </w:t>
              <w:t>Н.В. Махаева</w:t>
              <w:t> </w:t>
            </w:r>
          </w:p>
          <w:p>
            <w:pPr>
              <w:spacing w:after="0" w:before="0"/>
              <w:ind w:right="0" w:left="0" w:firstLine="0"/>
              <w:jc w:val="left"/>
            </w:pP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16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  <w:t> </w:t>
              <w:t>(расшифровка подписи)</w:t>
            </w:r>
          </w:p>
        </w:tc>
      </w:tr>
      <w:tr>
        <w:tc>
          <w:tcPr>
            <w:tcW w:type="dxa" w:w="107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6962"/>
            <w:tcBorders>
              <w:bottom w:color="000000" w:sz="0" w:val="none"/>
            </w:tcBorders>
            <w:vAlign w:val="top"/>
          </w:tcPr>
          <w:p>
            <w:pPr>
              <w:spacing w:before="56" w:after="56" w:lineRule="auto" w:line="240"/>
              <w:ind w:right="56" w:left="56" w:firstLine="0"/>
              <w:jc w:val="center"/>
            </w:pPr>
            <w:r>
              <w:rPr/>
            </w:r>
            <w:r>
              <w:rPr>
                <w:u w:val="none"/>
                <w:sz w:val="20"/>
                <w:rFonts w:ascii="Times New Roman" w:hAnsi="Times New Roman" w:cs="Times New Roman" w:eastAsia="Times New Roman"/>
                <w:b w:val="on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0"/>
                <w:rFonts w:ascii="Times New Roman" w:hAnsi="Times New Roman" w:cs="Times New Roman" w:eastAsia="Times New Roman"/>
                <w:b w:val="on"/>
                <w:i w:val="off"/>
                <w:strike w:val="off"/>
              </w:rPr>
            </w:r>
            <w:r>
              <w:rPr>
                <w:sz w:val="20"/>
                <w:rFonts w:ascii="Times New Roman" w:hAnsi="Times New Roman" w:cs="Times New Roman" w:eastAsia="Times New Roman"/>
                <w:b w:val="on"/>
                <w:u w:val="none"/>
                <w:i w:val="off"/>
                <w:strike w:val="off"/>
              </w:rPr>
            </w:r>
            <w:r>
              <w:rPr>
                <w:sz w:val="20"/>
                <w:rFonts w:ascii="Times New Roman" w:hAnsi="Times New Roman" w:cs="Times New Roman" w:eastAsia="Times New Roman"/>
                <w:b w:val="on"/>
                <w:u w:val="none"/>
              </w:rPr>
              <w:t>ДОКУМЕНТ ПОДПИСАН ЭЛЕКТРОННОЙ ПОДПИСЬЮ</w:t>
            </w:r>
          </w:p>
        </w:tc>
        <w:tc>
          <w:tcPr>
            <w:tcW w:type="dxa" w:w="3641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  <w:tr>
        <w:tc>
          <w:tcPr>
            <w:tcW w:type="dxa" w:w="107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6962"/>
            <w:tcBorders>
              <w:top w:color="000000" w:sz="0" w:val="none"/>
            </w:tcBorders>
          </w:tcPr>
          <w:p>
            <w:pPr>
              <w:spacing w:before="0" w:after="0" w:lineRule="auto" w:line="240"/>
              <w:ind w:right="0" w:left="0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>Сертификат: 4EEBEF76187BAC5EE8BF74B60ED7B923</w:t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>Владелец: Махаева Наталья Владимировна</w:t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>Действителен с 05.06.2025 по 29.08.2026</w:t>
            </w:r>
          </w:p>
        </w:tc>
        <w:tc>
          <w:tcPr>
            <w:tcW w:type="dxa" w:w="3641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  <w:tr>
        <w:tc>
          <w:tcPr>
            <w:tcW w:type="dxa" w:w="107"/>
            <w:vMerge/>
            <w:tcBorders>
              <w:right w:color="000000" w:sz="0" w:val="none"/>
            </w:tcBorders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6962"/>
            <w:tcBorders>
              <w:left w:color="000000" w:sz="0" w:val="none"/>
              <w:right w:color="000000" w:sz="0" w:val="none"/>
            </w:tcBorders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3641"/>
            <w:vMerge/>
            <w:tcBorders>
              <w:left w:color="000000" w:sz="0" w:val="none"/>
            </w:tcBorders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</w:tbl>
    <w:p>
      <w:pPr>
        <w:spacing w:before="0" w:after="0" w:lineRule="auto" w:line="240"/>
        <w:ind w:right="0" w:left="0" w:firstLine="0"/>
        <w:jc w:val="both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  <w:b w:val="off"/>
          <w:i w:val="off"/>
          <w:strike w:val="off"/>
        </w:rPr>
      </w:r>
    </w:p>
    <w:tbl>
      <w:tblPr>
        <w:tblW w:w="10711" w:type="dxa"/>
        <w:tblBorders>
          <w:top w:val="none" w:sz="0"/>
          <w:left w:val="none" w:sz="0"/>
          <w:bottom w:val="none" w:sz="0"/>
          <w:right w:val="none" w:sz="0"/>
          <w:insideH w:val="single" w:sz="16"/>
          <w:insideV w:val="single" w:sz="16"/>
        </w:tblBorders>
        <w:tblLayout w:type="fixed"/>
      </w:tblPr>
      <w:tblGrid>
        <w:gridCol w:w="107"/>
        <w:gridCol w:w="6962"/>
        <w:gridCol w:w="3641"/>
      </w:tblGrid>
      <w:tr>
        <w:tc>
          <w:tcPr>
            <w:tcW w:type="dxa" w:w="107"/>
            <w:vMerge w:val="restart"/>
            <w:tcBorders>
              <w:right w:color="000000" w:sz="0" w:val="none"/>
            </w:tcBorders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6962"/>
            <w:tcBorders>
              <w:left w:color="000000" w:sz="0" w:val="none"/>
              <w:right w:color="000000" w:sz="0" w:val="none"/>
            </w:tcBorders>
            <w:vAlign w:val="top"/>
          </w:tcPr>
          <w:p>
            <w:pPr>
              <w:spacing w:before="0" w:after="0" w:lineRule="auto" w:line="240"/>
              <w:ind w:right="0" w:left="0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  <w:t>ДИРЕКТОР</w:t>
            </w:r>
          </w:p>
        </w:tc>
        <w:tc>
          <w:tcPr>
            <w:tcW w:type="dxa" w:w="3641"/>
            <w:vMerge w:val="restart"/>
            <w:tcBorders>
              <w:left w:color="000000" w:sz="0" w:val="none"/>
            </w:tcBorders>
            <w:vAlign w:val="top"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>
                <w:sz w:val="24"/>
              </w:rPr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>
                <w:sz w:val="24"/>
              </w:rPr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8"/>
                <w:rFonts w:ascii="Times New Roman" w:hAnsi="Times New Roman" w:cs="Times New Roman" w:eastAsia="Times New Roman"/>
                <w:u w:val="single"/>
              </w:rPr>
              <w:t> </w:t>
              <w:t>Н.В. Махаева</w:t>
              <w:t> </w:t>
            </w:r>
          </w:p>
          <w:p>
            <w:pPr>
              <w:spacing w:after="0" w:before="0"/>
              <w:ind w:right="0" w:left="0" w:firstLine="0"/>
              <w:jc w:val="left"/>
            </w:pPr>
            <w:r>
              <w:rPr>
                <w:sz w:val="28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16"/>
                <w:rFonts w:ascii="Times New Roman" w:hAnsi="Times New Roman" w:cs="Times New Roman" w:eastAsia="Times New Roman"/>
                <w:u w:val="none"/>
                <w:b w:val="off"/>
                <w:i w:val="off"/>
                <w:strike w:val="off"/>
              </w:rPr>
              <w:t> </w:t>
              <w:t>(расшифровка подписи)</w:t>
            </w:r>
          </w:p>
        </w:tc>
      </w:tr>
      <w:tr>
        <w:tc>
          <w:tcPr>
            <w:tcW w:type="dxa" w:w="107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6962"/>
            <w:tcBorders>
              <w:bottom w:color="000000" w:sz="0" w:val="none"/>
            </w:tcBorders>
            <w:vAlign w:val="top"/>
          </w:tcPr>
          <w:p>
            <w:pPr>
              <w:spacing w:before="56" w:after="56" w:lineRule="auto" w:line="240"/>
              <w:ind w:right="56" w:left="56" w:firstLine="0"/>
              <w:jc w:val="center"/>
            </w:pPr>
            <w:r>
              <w:rPr/>
            </w:r>
            <w:r>
              <w:rPr>
                <w:u w:val="none"/>
                <w:sz w:val="20"/>
                <w:rFonts w:ascii="Times New Roman" w:hAnsi="Times New Roman" w:cs="Times New Roman" w:eastAsia="Times New Roman"/>
                <w:b w:val="on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0"/>
                <w:rFonts w:ascii="Times New Roman" w:hAnsi="Times New Roman" w:cs="Times New Roman" w:eastAsia="Times New Roman"/>
                <w:b w:val="on"/>
                <w:i w:val="off"/>
                <w:strike w:val="off"/>
              </w:rPr>
            </w:r>
            <w:r>
              <w:rPr>
                <w:sz w:val="20"/>
                <w:rFonts w:ascii="Times New Roman" w:hAnsi="Times New Roman" w:cs="Times New Roman" w:eastAsia="Times New Roman"/>
                <w:b w:val="on"/>
                <w:u w:val="none"/>
                <w:i w:val="off"/>
                <w:strike w:val="off"/>
              </w:rPr>
            </w:r>
            <w:r>
              <w:rPr>
                <w:sz w:val="20"/>
                <w:rFonts w:ascii="Times New Roman" w:hAnsi="Times New Roman" w:cs="Times New Roman" w:eastAsia="Times New Roman"/>
                <w:b w:val="on"/>
                <w:u w:val="none"/>
              </w:rPr>
              <w:t>ДОКУМЕНТ ПОДПИСАН ЭЛЕКТРОННОЙ ПОДПИСЬЮ</w:t>
            </w:r>
          </w:p>
        </w:tc>
        <w:tc>
          <w:tcPr>
            <w:tcW w:type="dxa" w:w="3641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  <w:tr>
        <w:tc>
          <w:tcPr>
            <w:tcW w:type="dxa" w:w="107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6962"/>
            <w:tcBorders>
              <w:top w:color="000000" w:sz="0" w:val="none"/>
            </w:tcBorders>
          </w:tcPr>
          <w:p>
            <w:pPr>
              <w:spacing w:before="0" w:after="0" w:lineRule="auto" w:line="240"/>
              <w:ind w:right="0" w:left="0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>Сертификат: 4EEBEF76187BAC5EE8BF74B60ED7B923</w:t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>Владелец: Махаева Наталья Владимировна</w:t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/>
            </w:r>
          </w:p>
          <w:p>
            <w:pPr>
              <w:spacing w:before="0" w:after="0" w:lineRule="auto" w:line="240"/>
              <w:ind w:right="0" w:left="0" w:firstLine="0"/>
              <w:jc w:val="left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/>
            </w:r>
            <w:r>
              <w:rPr>
                <w:sz w:val="20"/>
                <w:rFonts w:ascii="Times New Roman" w:hAnsi="Times New Roman" w:cs="Times New Roman" w:eastAsia="Times New Roman"/>
                <w:u w:val="none"/>
              </w:rPr>
              <w:t>Действителен с 05.06.2025 по 29.08.2026</w:t>
            </w:r>
          </w:p>
        </w:tc>
        <w:tc>
          <w:tcPr>
            <w:tcW w:type="dxa" w:w="3641"/>
            <w:vMerge/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  <w:tr>
        <w:tc>
          <w:tcPr>
            <w:tcW w:type="dxa" w:w="107"/>
            <w:vMerge/>
            <w:tcBorders>
              <w:right w:color="000000" w:sz="0" w:val="none"/>
            </w:tcBorders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6962"/>
            <w:tcBorders>
              <w:left w:color="000000" w:sz="0" w:val="none"/>
              <w:right w:color="000000" w:sz="0" w:val="none"/>
            </w:tcBorders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  <w:tc>
          <w:tcPr>
            <w:tcW w:type="dxa" w:w="3641"/>
            <w:vMerge/>
            <w:tcBorders>
              <w:left w:color="000000" w:sz="0" w:val="none"/>
            </w:tcBorders>
          </w:tcPr>
          <w:p>
            <w:pPr>
              <w:spacing w:before="0" w:after="0" w:lineRule="auto" w:line="240"/>
              <w:ind w:right="0" w:left="0" w:firstLine="0"/>
              <w:jc w:val="both"/>
            </w:pPr>
            <w:r>
              <w:rPr/>
            </w:r>
            <w:r>
              <w:rPr>
                <w:u w:val="none"/>
                <w:sz w:val="28"/>
                <w:rFonts w:ascii="Times New Roman" w:hAnsi="Times New Roman" w:cs="Times New Roman" w:eastAsia="Times New Roman"/>
                <w:b w:val="off"/>
                <w:i w:val="off"/>
                <w:strike w:val="off"/>
              </w:rPr>
              <w:t/>
            </w:r>
          </w:p>
        </w:tc>
      </w:tr>
    </w:tbl>
    <w:p>
      <w:pPr>
        <w:spacing w:before="0" w:after="0" w:lineRule="atLeast" w:line="20"/>
        <w:ind w:right="56" w:left="56" w:firstLine="0"/>
        <w:jc w:val="left"/>
      </w:pPr>
      <w:r>
        <w:rPr/>
      </w:r>
      <w:r>
        <w:rPr>
          <w:u w:val="none"/>
          <w:sz w:val="28"/>
          <w:rFonts w:ascii="Times New Roman" w:hAnsi="Times New Roman" w:cs="Times New Roman" w:eastAsia="Times New Roman"/>
          <w:b w:val="off"/>
          <w:i w:val="off"/>
          <w:strike w:val="off"/>
        </w:rPr>
      </w:r>
      <w:r>
        <w:rPr>
          <w:sz w:val="28"/>
          <w:rFonts w:ascii="Times New Roman" w:hAnsi="Times New Roman" w:cs="Times New Roman" w:eastAsia="Times New Roman"/>
          <w:u w:val="none"/>
        </w:rPr>
        <w:t>13 марта 2026 г.</w:t>
      </w:r>
    </w:p>
    <w:sectPr>
      <w:pgSz w:orient="portrait" w:w="11900" w:h="16840"/>
      <w:pgMar w:left="623" w:right="566" w:top="1133" w:bottom="1133"/>
    </w:sectPr>
  </w:body>
</w:document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>
  <w:style w:styleId="Metadata">
    <w:name w:val="Версия сервера генератора печатных документов: 14.71 Версия клиента генератора печатных документов: 14.0.34 Текущий пользователь: mahaevanavl@admin.orenburg.ru Данные о генерации: DataSourceProvider: ru.krista.consolidation.printdoceditor.service.PrintDocEditorDataSourceProvider TemplateStorage: ru.krista.consolidation.printdoceditor.service.PrintDocEditorTemplateStorage GenerationCache: ru.krista.print.doc.editor.generation.InMemoryGenerationCache FunctionProviders:  * ru.krista.print.doc.editor.evaluator.InMemoryFunctionProvider * ru.krista.consolidation.printdoceditor.service.PrintDocEditorFunctionProvider "/>
  </w:style>
</w:styles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2026-03-23T08:36:49Z</dcterms:created>
  <dc:creator>Apache POI</dc:creator>
</cp:coreProperties>
</file>